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789272.xml.htm"/>
      <w:bookmarkStart w:id="1" w:name="kswkform4_17787892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Ryan Barbara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10710 MIDLOTHIAN TURNPIKE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CHESTERFIELD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Indivior Pharmaceuticals, Inc.</w:t>
              </w:r>
            </w:hyperlink>
            <w:r>
              <w:rPr/>
              <w:t xml:space="preserve"> [ </w:t>
            </w:r>
            <w:r>
              <w:rPr>
                <w:rFonts w:ascii="Times;serif" w:hAnsi="Times;serif"/>
                <w:color w:val="0000FF"/>
                <w:sz w:val="24"/>
                <w:shd w:fill="FFFFFF" w:val="clear"/>
              </w:rPr>
              <w:t>INDV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6,518</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12,242</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grant of Restricted Stock Units (RSUs). Each RSU represents a contingent right to receive one share of the Issuer's common stock. The RSUs vest on the day immediately preceding the date of the annual meeting of the Issuer's stockholders following the date of grant, subject to the Reporting Person's continued service to the Issuer on the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/s/Alice Givens,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7169" TargetMode="External"/><Relationship Id="rId5" Type="http://schemas.openxmlformats.org/officeDocument/2006/relationships/hyperlink" Target="http://www.sec.gov/cgi-bin/browse-edgar?action=getcompany&amp;CIK=00016252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621</Words>
  <Characters>3369</Characters>
  <CharactersWithSpaces>3930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