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6"/>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0"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6"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18"/>
          <w:szCs w:val="18"/>
          <w:color w:val="auto"/>
        </w:rPr>
        <w:t>Date of Report (Date of earliest event reported): May 4, 2026</w:t>
      </w:r>
    </w:p>
    <w:p>
      <w:pPr>
        <w:spacing w:after="0" w:line="151"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43"/>
          <w:szCs w:val="43"/>
          <w:b w:val="1"/>
          <w:bCs w:val="1"/>
          <w:color w:val="auto"/>
        </w:rPr>
        <w:t>INDIVIOR PHARMACEUTICALS, INC.</w:t>
      </w:r>
    </w:p>
    <w:p>
      <w:pPr>
        <w:spacing w:after="0" w:line="200" w:lineRule="exact"/>
        <w:rPr>
          <w:sz w:val="24"/>
          <w:szCs w:val="24"/>
          <w:color w:val="auto"/>
        </w:rPr>
      </w:pPr>
    </w:p>
    <w:tbl>
      <w:tblPr>
        <w:tblLayout w:type="fixed"/>
        <w:tblInd w:w="164"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40" w:type="dxa"/>
            <w:vAlign w:val="bottom"/>
            <w:gridSpan w:val="3"/>
          </w:tcPr>
          <w:p>
            <w:pPr>
              <w:ind w:left="36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Delaware</w:t>
            </w:r>
          </w:p>
        </w:tc>
        <w:tc>
          <w:tcPr>
            <w:tcW w:w="2680" w:type="dxa"/>
            <w:vAlign w:val="bottom"/>
            <w:tcBorders>
              <w:bottom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rPr>
              <w:t>001-37835</w:t>
            </w:r>
          </w:p>
        </w:tc>
        <w:tc>
          <w:tcPr>
            <w:tcW w:w="5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41-2520873</w:t>
            </w:r>
          </w:p>
        </w:tc>
        <w:tc>
          <w:tcPr>
            <w:tcW w:w="60" w:type="dxa"/>
            <w:vAlign w:val="bottom"/>
            <w:tcBorders>
              <w:bottom w:val="single" w:sz="8" w:color="auto"/>
            </w:tcBorders>
          </w:tcPr>
          <w:p>
            <w:pPr>
              <w:spacing w:after="0"/>
              <w:rPr>
                <w:sz w:val="24"/>
                <w:szCs w:val="24"/>
                <w:color w:val="auto"/>
              </w:rPr>
            </w:pPr>
          </w:p>
        </w:tc>
      </w:tr>
      <w:tr>
        <w:trPr>
          <w:trHeight w:val="200"/>
        </w:trPr>
        <w:tc>
          <w:tcPr>
            <w:tcW w:w="60" w:type="dxa"/>
            <w:vAlign w:val="bottom"/>
          </w:tcPr>
          <w:p>
            <w:pPr>
              <w:spacing w:after="0"/>
              <w:rPr>
                <w:sz w:val="17"/>
                <w:szCs w:val="17"/>
                <w:color w:val="auto"/>
              </w:rPr>
            </w:pPr>
          </w:p>
        </w:tc>
        <w:tc>
          <w:tcPr>
            <w:tcW w:w="4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20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color w:val="auto"/>
              </w:rPr>
              <w:t>(Commission File Number)</w:t>
            </w:r>
          </w:p>
        </w:tc>
        <w:tc>
          <w:tcPr>
            <w:tcW w:w="30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09"/>
        </w:trPr>
        <w:tc>
          <w:tcPr>
            <w:tcW w:w="6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10710 Midlothian Turnpike, Suite 125</w:t>
            </w: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44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North Chesterfield, VA</w:t>
            </w:r>
          </w:p>
        </w:tc>
        <w:tc>
          <w:tcPr>
            <w:tcW w:w="26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jc w:val="right"/>
              <w:ind w:right="1295"/>
              <w:spacing w:after="0"/>
              <w:rPr>
                <w:sz w:val="20"/>
                <w:szCs w:val="20"/>
                <w:color w:val="auto"/>
              </w:rPr>
            </w:pPr>
            <w:r>
              <w:rPr>
                <w:rFonts w:ascii="Times New Roman" w:cs="Times New Roman" w:eastAsia="Times New Roman" w:hAnsi="Times New Roman"/>
                <w:sz w:val="18"/>
                <w:szCs w:val="18"/>
                <w:color w:val="auto"/>
              </w:rPr>
              <w:t>23235</w:t>
            </w:r>
          </w:p>
        </w:tc>
        <w:tc>
          <w:tcPr>
            <w:tcW w:w="60" w:type="dxa"/>
            <w:vAlign w:val="bottom"/>
          </w:tcPr>
          <w:p>
            <w:pPr>
              <w:spacing w:after="0"/>
              <w:rPr>
                <w:sz w:val="21"/>
                <w:szCs w:val="21"/>
                <w:color w:val="auto"/>
              </w:rPr>
            </w:pPr>
          </w:p>
        </w:tc>
      </w:tr>
      <w:tr>
        <w:trPr>
          <w:trHeight w:val="228"/>
        </w:trPr>
        <w:tc>
          <w:tcPr>
            <w:tcW w:w="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(Zip Code)</w:t>
            </w:r>
          </w:p>
        </w:tc>
        <w:tc>
          <w:tcPr>
            <w:tcW w:w="60" w:type="dxa"/>
            <w:vAlign w:val="bottom"/>
          </w:tcPr>
          <w:p>
            <w:pPr>
              <w:spacing w:after="0"/>
              <w:rPr>
                <w:sz w:val="19"/>
                <w:szCs w:val="19"/>
                <w:color w:val="auto"/>
              </w:rPr>
            </w:pPr>
          </w:p>
        </w:tc>
      </w:tr>
    </w:tbl>
    <w:p>
      <w:pPr>
        <w:spacing w:after="0" w:line="233" w:lineRule="exact"/>
        <w:rPr>
          <w:sz w:val="24"/>
          <w:szCs w:val="24"/>
          <w:color w:val="auto"/>
        </w:rPr>
      </w:pPr>
    </w:p>
    <w:p>
      <w:pPr>
        <w:ind w:left="3424"/>
        <w:spacing w:after="0"/>
        <w:rPr>
          <w:sz w:val="20"/>
          <w:szCs w:val="20"/>
          <w:color w:val="auto"/>
        </w:rPr>
      </w:pPr>
      <w:r>
        <w:rPr>
          <w:rFonts w:ascii="Times New Roman" w:cs="Times New Roman" w:eastAsia="Times New Roman" w:hAnsi="Times New Roman"/>
          <w:sz w:val="18"/>
          <w:szCs w:val="18"/>
          <w:color w:val="auto"/>
        </w:rPr>
        <w:t>Registrant’s telephone number, including area code: 804-379-1090</w:t>
      </w:r>
    </w:p>
    <w:p>
      <w:pPr>
        <w:spacing w:after="0" w:line="50" w:lineRule="exact"/>
        <w:rPr>
          <w:sz w:val="24"/>
          <w:szCs w:val="24"/>
          <w:color w:val="auto"/>
        </w:rPr>
      </w:pPr>
    </w:p>
    <w:p>
      <w:pPr>
        <w:ind w:left="5044"/>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411480</wp:posOffset>
            </wp:positionH>
            <wp:positionV relativeFrom="paragraph">
              <wp:posOffset>17145</wp:posOffset>
            </wp:positionV>
            <wp:extent cx="6231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70"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93" w:lineRule="exact"/>
        <w:rPr>
          <w:sz w:val="24"/>
          <w:szCs w:val="24"/>
          <w:color w:val="auto"/>
        </w:rPr>
      </w:pPr>
    </w:p>
    <w:p>
      <w:pPr>
        <w:jc w:val="center"/>
        <w:ind w:right="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1304" w:hanging="1304"/>
        <w:spacing w:after="0"/>
        <w:tabs>
          <w:tab w:leader="none" w:pos="13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1304" w:hanging="1304"/>
        <w:spacing w:after="0"/>
        <w:tabs>
          <w:tab w:leader="none" w:pos="13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1304" w:hanging="1304"/>
        <w:spacing w:after="0"/>
        <w:tabs>
          <w:tab w:leader="none" w:pos="13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4" w:right="1820" w:hanging="44"/>
        <w:spacing w:after="0" w:line="414" w:lineRule="auto"/>
        <w:tabs>
          <w:tab w:leader="none" w:pos="130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84" w:type="dxa"/>
        <w:tblCellMar>
          <w:top w:w="0" w:type="dxa"/>
          <w:left w:w="0" w:type="dxa"/>
          <w:bottom w:w="0" w:type="dxa"/>
          <w:right w:w="0" w:type="dxa"/>
        </w:tblCellMar>
      </w:tblP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B2D34"/>
              </w:rPr>
              <w:t>Title of each class</w:t>
            </w:r>
          </w:p>
        </w:tc>
        <w:tc>
          <w:tcPr>
            <w:tcW w:w="2560" w:type="dxa"/>
            <w:vAlign w:val="bottom"/>
          </w:tcPr>
          <w:p>
            <w:pPr>
              <w:jc w:val="center"/>
              <w:ind w:left="579"/>
              <w:spacing w:after="0"/>
              <w:rPr>
                <w:sz w:val="20"/>
                <w:szCs w:val="20"/>
                <w:color w:val="auto"/>
              </w:rPr>
            </w:pPr>
            <w:r>
              <w:rPr>
                <w:rFonts w:ascii="Times New Roman" w:cs="Times New Roman" w:eastAsia="Times New Roman" w:hAnsi="Times New Roman"/>
                <w:sz w:val="14"/>
                <w:szCs w:val="14"/>
                <w:b w:val="1"/>
                <w:bCs w:val="1"/>
                <w:color w:val="2B2D34"/>
              </w:rPr>
              <w:t>Trading Symbol(s)</w:t>
            </w:r>
          </w:p>
        </w:tc>
        <w:tc>
          <w:tcPr>
            <w:tcW w:w="41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2B2D34"/>
              </w:rPr>
              <w:t>Name of each exchange on which registered</w:t>
            </w:r>
          </w:p>
        </w:tc>
      </w:tr>
      <w:tr>
        <w:trPr>
          <w:trHeight w:val="77"/>
        </w:trPr>
        <w:tc>
          <w:tcPr>
            <w:tcW w:w="41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4140" w:type="dxa"/>
            <w:vAlign w:val="bottom"/>
            <w:tcBorders>
              <w:bottom w:val="single" w:sz="8" w:color="auto"/>
            </w:tcBorders>
          </w:tcPr>
          <w:p>
            <w:pPr>
              <w:spacing w:after="0"/>
              <w:rPr>
                <w:sz w:val="6"/>
                <w:szCs w:val="6"/>
                <w:color w:val="auto"/>
              </w:rPr>
            </w:pPr>
          </w:p>
        </w:tc>
      </w:tr>
      <w:tr>
        <w:trPr>
          <w:trHeight w:val="22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2560" w:type="dxa"/>
            <w:vAlign w:val="bottom"/>
          </w:tcPr>
          <w:p>
            <w:pPr>
              <w:jc w:val="center"/>
              <w:ind w:left="579"/>
              <w:spacing w:after="0"/>
              <w:rPr>
                <w:sz w:val="20"/>
                <w:szCs w:val="20"/>
                <w:color w:val="auto"/>
              </w:rPr>
            </w:pPr>
            <w:r>
              <w:rPr>
                <w:rFonts w:ascii="Times New Roman" w:cs="Times New Roman" w:eastAsia="Times New Roman" w:hAnsi="Times New Roman"/>
                <w:sz w:val="18"/>
                <w:szCs w:val="18"/>
                <w:color w:val="auto"/>
              </w:rPr>
              <w:t>INDV</w:t>
            </w:r>
          </w:p>
        </w:tc>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33" w:lineRule="exact"/>
        <w:rPr>
          <w:sz w:val="24"/>
          <w:szCs w:val="24"/>
          <w:color w:val="auto"/>
        </w:rPr>
      </w:pPr>
    </w:p>
    <w:p>
      <w:pPr>
        <w:ind w:left="4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 w:lineRule="exact"/>
        <w:rPr>
          <w:sz w:val="24"/>
          <w:szCs w:val="24"/>
          <w:color w:val="auto"/>
        </w:rPr>
      </w:pPr>
    </w:p>
    <w:p>
      <w:pPr>
        <w:ind w:left="11004"/>
        <w:spacing w:after="0" w:line="161" w:lineRule="exact"/>
        <w:rPr>
          <w:sz w:val="20"/>
          <w:szCs w:val="20"/>
          <w:color w:val="auto"/>
        </w:rPr>
      </w:pPr>
      <w:r>
        <w:rPr>
          <w:rFonts w:ascii="MS PGothic" w:cs="MS PGothic" w:eastAsia="MS PGothic" w:hAnsi="MS PGothic"/>
          <w:sz w:val="16"/>
          <w:szCs w:val="16"/>
          <w:color w:val="auto"/>
        </w:rPr>
        <w:t>☐</w:t>
      </w:r>
    </w:p>
    <w:p>
      <w:pPr>
        <w:spacing w:after="0" w:line="63" w:lineRule="exact"/>
        <w:rPr>
          <w:sz w:val="24"/>
          <w:szCs w:val="24"/>
          <w:color w:val="auto"/>
        </w:rPr>
      </w:pPr>
    </w:p>
    <w:p>
      <w:pPr>
        <w:ind w:left="44"/>
        <w:spacing w:after="0" w:line="24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-55245</wp:posOffset>
            </wp:positionH>
            <wp:positionV relativeFrom="paragraph">
              <wp:posOffset>1402080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4"/>
          </w:cols>
          <w:pgMar w:left="396" w:top="10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May 4, 2026, Indivior Pharmaceuticals, Inc. (the "Company") issued the press release described in Item 8.01, below. The press release is furnished as 99.1 to this Current Report on Form 8-K.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4, 2026 the Company issued a press release announcing that it had entered into an accelerated share repurchase agreement (the “ASR Agreement”) with an investment bank counterparty (the “Counterparty Bank”) to repurchase $175.0 million (the “Prepayment Amount”) of shares of the Company’s common stock, par value $0.001 per share (the “Common Stock”), as part of the Company’s previously announced $400 million share repurchase program (the “Share Repurchase Program”). The full text of the press release is furnished hereto as Exhibit 99.1 and incorporated herein by reference.</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Pursuant to the terms of the ASR Agreement, the Company paid the Prepayment Amount to the Counterparty Bank and received an initial delivery of 3,717,473 shares. The exact total number of shares to be repurchased under the ASR Agreement generally will be based on the average of the daily volume-weighted average prices of the shares during the term of the ASR transaction, less a discount, pursuant to the terms and conditions of the ASR Agreement. Upon final settlement of the ASR transaction, the Company may be entitled to receive additional shares from the Counterparty Bank or, under certain circumstances, the Company may be required to deliver shares or, at the Company’s option, make a cash payment to the Counterparty Bank. Transactions under the ASR Agreement are expected to be completed by June 22,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Exhibits.Item 9.01 Financial Statements and Exhibits.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ectPr>
          <w:pgSz w:w="11900" w:h="16838" w:orient="portrait"/>
          <w:cols w:equalWidth="0" w:num="1">
            <w:col w:w="11240"/>
          </w:cols>
          <w:pgMar w:left="320" w:top="914" w:right="339" w:bottom="1440" w:gutter="0" w:footer="0" w:header="0"/>
        </w:sect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54" w:lineRule="exact"/>
        <w:rPr>
          <w:sz w:val="20"/>
          <w:szCs w:val="20"/>
          <w:color w:val="auto"/>
        </w:rPr>
      </w:pPr>
    </w:p>
    <w:p>
      <w:pPr>
        <w:sectPr>
          <w:pgSz w:w="11900" w:h="16838" w:orient="portrait"/>
          <w:cols w:equalWidth="0" w:num="2">
            <w:col w:w="960" w:space="720"/>
            <w:col w:w="9560"/>
          </w:cols>
          <w:pgMar w:left="320" w:top="914" w:right="33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Press release dated May 4, 2026.</w:t>
      </w:r>
    </w:p>
    <w:p>
      <w:pPr>
        <w:spacing w:after="0" w:line="63" w:lineRule="exact"/>
        <w:rPr>
          <w:sz w:val="20"/>
          <w:szCs w:val="20"/>
          <w:color w:val="auto"/>
        </w:rPr>
      </w:pPr>
    </w:p>
    <w:p>
      <w:pPr>
        <w:sectPr>
          <w:pgSz w:w="11900" w:h="16838" w:orient="portrait"/>
          <w:cols w:equalWidth="0" w:num="2">
            <w:col w:w="1040" w:space="720"/>
            <w:col w:w="9480"/>
          </w:cols>
          <w:pgMar w:left="320" w:top="914" w:right="33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1" w:lineRule="exact"/>
        <w:rPr>
          <w:sz w:val="20"/>
          <w:szCs w:val="20"/>
          <w:color w:val="auto"/>
        </w:rPr>
      </w:pPr>
    </w:p>
    <w:p>
      <w:pPr>
        <w:sectPr>
          <w:pgSz w:w="11900" w:h="16838" w:orient="portrait"/>
          <w:cols w:equalWidth="0" w:num="2">
            <w:col w:w="1040" w:space="720"/>
            <w:col w:w="9480"/>
          </w:cols>
          <w:pgMar w:left="320" w:top="914" w:right="3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Indivior Pharmaceuticals, Inc.</w:t>
            </w:r>
          </w:p>
        </w:tc>
      </w:tr>
      <w:tr>
        <w:trPr>
          <w:trHeight w:val="58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Ryan Preblick</w:t>
            </w:r>
          </w:p>
        </w:tc>
      </w:tr>
      <w:tr>
        <w:trPr>
          <w:trHeight w:val="218"/>
        </w:trPr>
        <w:tc>
          <w:tcPr>
            <w:tcW w:w="3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Ryan Preblick</w:t>
            </w:r>
          </w:p>
        </w:tc>
      </w:tr>
      <w:tr>
        <w:trPr>
          <w:trHeight w:val="234"/>
        </w:trPr>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914" w:right="339" w:bottom="1440" w:gutter="0" w:footer="0" w:header="0"/>
          <w:type w:val="continuous"/>
        </w:sectPr>
      </w:pPr>
    </w:p>
    <w:bookmarkStart w:id="2" w:name="page3"/>
    <w:bookmarkEnd w:id="2"/>
    <w:p>
      <w:pPr>
        <w:spacing w:after="0" w:line="121"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14605</wp:posOffset>
            </wp:positionV>
            <wp:extent cx="181737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Indivior Announces $175 Million Accelerated Share Repurchase</w:t>
      </w:r>
    </w:p>
    <w:p>
      <w:pPr>
        <w:spacing w:after="0" w:line="393"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RICHMOND, Va., May 4, 2026 – Indivior Pharmaceuticals, Inc. (Nasdaq: INDV), today announced that it has entered into a $175 million accelerated share repurchase agreement (the “ASR”) with Barclays Bank PLC. The ASR will be executed under Indivior’s existing $400 million share repurchase program previously authorized by the Company’s Board of Directors. The ASR reflects the Company’s confidence in its long-term strategy, cash flow generation, and commitment to disciplined capital allocation.</w:t>
      </w:r>
    </w:p>
    <w:p>
      <w:pPr>
        <w:spacing w:after="0" w:line="195"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Under the ASR agreement, Indivior will make an upfront payment of $175 million to Barclays and expects to receive an initial delivery of 3,717,473 shares promptly following execution. The final number of shares repurchased will be determined based on the volume weighted average price of Indivior’s common stock during the term of the ASR, less a discount. Final settlement is expected to occur no later than the end of June, 2026. Indivior does not expect the ASR to impact its previously issued financial guidance.</w:t>
      </w:r>
    </w:p>
    <w:p>
      <w:pPr>
        <w:spacing w:after="0" w:line="195"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The remaining $100 million under the share repurchase authorization may be used for additional repurchases from time to time, subject to market conditions and other factors. Repurchases may be made through open market transactions, privately negotiated transactions, or other methods permitted under applicable law.</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Indivior</w:t>
      </w:r>
    </w:p>
    <w:p>
      <w:pPr>
        <w:spacing w:after="0" w:line="123"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we are powering recovery and renewing hope. Visit www.indivior.com to learn more. Connect with Indivior on LinkedIn by visiting www.linkedin.com/company/Indivior.</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Important Cautionary Statement Regarding Forward-Looking Statements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This announcement contains certain statements that are forward-looking. Forward-looking statements include, among other things, statements regarding expected share repurchases, our long-term strategy, cash flow generation, commitment to disciplined capital allocation, and other statements containing the words "believe," "anticipate," "plan," "expect," "intend," "estimate," "forecast," “strategy,” “target,” “guidance,” “outlook,” “potential,” "project," "priority," "may," "will," "should," "would," "could," "can," the negatives thereof, and variations thereon and similar expressions. By their nature, forward-looking statements involve risks and uncertainties as they relate to events or circumstances that may or may not occur in the future. Actual results may differ materially from those expressed or implied in these</w:t>
      </w:r>
    </w:p>
    <w:p>
      <w:pPr>
        <w:sectPr>
          <w:pgSz w:w="11900" w:h="16838" w:orient="portrait"/>
          <w:cols w:equalWidth="0" w:num="1">
            <w:col w:w="11240"/>
          </w:cols>
          <w:pgMar w:left="320" w:top="1440" w:right="339" w:bottom="1440" w:gutter="0" w:footer="0" w:header="0"/>
        </w:sectPr>
      </w:pPr>
    </w:p>
    <w:bookmarkStart w:id="3" w:name="page4"/>
    <w:bookmarkEnd w:id="3"/>
    <w:p>
      <w:pPr>
        <w:spacing w:after="0" w:line="123"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forward-looking statements due to a number of factors, including: cash available for share repurchases in the future, and the market price of our common stock in the future. For additional information about some of the risks and important factors that could affect our future results and financial condition, see "Risk Factors" in our Annual Report on Form 10-K filed February 26, 2026, and in our other filings with the U.S. Securities and Exchange Commission. Forward-looking statements speak only as of the date that they are made and should be regarded solely as our current plans, estimates and beliefs. Except as required by law, we do not undertake and specifically decline any obligation to update, republish or revise forward-looking statements to reflect future events or circumstances or to reflect the occurrences of unanticipated events.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8"/>
              </w:rPr>
              <w:t>For Further Information</w:t>
            </w:r>
          </w:p>
        </w:tc>
        <w:tc>
          <w:tcPr>
            <w:tcW w:w="1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90"/>
        </w:trPr>
        <w:tc>
          <w:tcPr>
            <w:tcW w:w="1420" w:type="dxa"/>
            <w:vAlign w:val="bottom"/>
          </w:tcPr>
          <w:p>
            <w:pPr>
              <w:ind w:left="20"/>
              <w:spacing w:after="0"/>
              <w:rPr>
                <w:sz w:val="20"/>
                <w:szCs w:val="20"/>
                <w:color w:val="auto"/>
              </w:rPr>
            </w:pPr>
            <w:r>
              <w:rPr>
                <w:rFonts w:ascii="Arial" w:cs="Arial" w:eastAsia="Arial" w:hAnsi="Arial"/>
                <w:sz w:val="20"/>
                <w:szCs w:val="20"/>
                <w:b w:val="1"/>
                <w:bCs w:val="1"/>
                <w:color w:val="auto"/>
              </w:rPr>
              <w:t>Investors</w:t>
            </w:r>
          </w:p>
        </w:tc>
        <w:tc>
          <w:tcPr>
            <w:tcW w:w="2540" w:type="dxa"/>
            <w:vAlign w:val="bottom"/>
            <w:gridSpan w:val="2"/>
          </w:tcPr>
          <w:p>
            <w:pPr>
              <w:ind w:left="520"/>
              <w:spacing w:after="0"/>
              <w:rPr>
                <w:sz w:val="20"/>
                <w:szCs w:val="20"/>
                <w:color w:val="auto"/>
              </w:rPr>
            </w:pPr>
            <w:r>
              <w:rPr>
                <w:rFonts w:ascii="Arial" w:cs="Arial" w:eastAsia="Arial" w:hAnsi="Arial"/>
                <w:sz w:val="20"/>
                <w:szCs w:val="20"/>
                <w:color w:val="auto"/>
              </w:rPr>
              <w:t>Jason Thompson</w:t>
            </w:r>
          </w:p>
        </w:tc>
        <w:tc>
          <w:tcPr>
            <w:tcW w:w="2460" w:type="dxa"/>
            <w:vAlign w:val="bottom"/>
          </w:tcPr>
          <w:p>
            <w:pPr>
              <w:spacing w:after="0"/>
              <w:rPr>
                <w:sz w:val="24"/>
                <w:szCs w:val="24"/>
                <w:color w:val="auto"/>
              </w:rPr>
            </w:pPr>
          </w:p>
        </w:tc>
        <w:tc>
          <w:tcPr>
            <w:tcW w:w="2940" w:type="dxa"/>
            <w:vAlign w:val="bottom"/>
          </w:tcPr>
          <w:p>
            <w:pPr>
              <w:ind w:left="300"/>
              <w:spacing w:after="0"/>
              <w:rPr>
                <w:sz w:val="20"/>
                <w:szCs w:val="20"/>
                <w:color w:val="auto"/>
              </w:rPr>
            </w:pPr>
            <w:r>
              <w:rPr>
                <w:rFonts w:ascii="Arial" w:cs="Arial" w:eastAsia="Arial" w:hAnsi="Arial"/>
                <w:sz w:val="20"/>
                <w:szCs w:val="20"/>
                <w:color w:val="auto"/>
              </w:rPr>
              <w:t>+1 804 402 7123</w:t>
            </w:r>
          </w:p>
        </w:tc>
      </w:tr>
      <w:tr>
        <w:trPr>
          <w:trHeight w:val="297"/>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ind w:left="240"/>
              <w:spacing w:after="0"/>
              <w:rPr>
                <w:sz w:val="20"/>
                <w:szCs w:val="20"/>
                <w:color w:val="auto"/>
              </w:rPr>
            </w:pPr>
            <w:r>
              <w:rPr>
                <w:rFonts w:ascii="Arial" w:cs="Arial" w:eastAsia="Arial" w:hAnsi="Arial"/>
                <w:sz w:val="20"/>
                <w:szCs w:val="20"/>
                <w:color w:val="auto"/>
              </w:rPr>
              <w:t>VP, Investor Relations</w:t>
            </w:r>
          </w:p>
        </w:tc>
        <w:tc>
          <w:tcPr>
            <w:tcW w:w="2940" w:type="dxa"/>
            <w:vAlign w:val="bottom"/>
          </w:tcPr>
          <w:p>
            <w:pPr>
              <w:ind w:left="300"/>
              <w:spacing w:after="0"/>
              <w:rPr>
                <w:sz w:val="20"/>
                <w:szCs w:val="20"/>
                <w:color w:val="auto"/>
              </w:rPr>
            </w:pPr>
            <w:r>
              <w:rPr>
                <w:rFonts w:ascii="Arial" w:cs="Arial" w:eastAsia="Arial" w:hAnsi="Arial"/>
                <w:sz w:val="20"/>
                <w:szCs w:val="20"/>
                <w:color w:val="auto"/>
                <w:w w:val="97"/>
              </w:rPr>
              <w:t>jason.thompson@indivior.com</w:t>
            </w:r>
          </w:p>
        </w:tc>
      </w:tr>
      <w:tr>
        <w:trPr>
          <w:trHeight w:val="364"/>
        </w:trPr>
        <w:tc>
          <w:tcPr>
            <w:tcW w:w="1420" w:type="dxa"/>
            <w:vAlign w:val="bottom"/>
          </w:tcPr>
          <w:p>
            <w:pPr>
              <w:ind w:left="20"/>
              <w:spacing w:after="0"/>
              <w:rPr>
                <w:sz w:val="20"/>
                <w:szCs w:val="20"/>
                <w:color w:val="auto"/>
              </w:rPr>
            </w:pPr>
            <w:r>
              <w:rPr>
                <w:rFonts w:ascii="Arial" w:cs="Arial" w:eastAsia="Arial" w:hAnsi="Arial"/>
                <w:sz w:val="20"/>
                <w:szCs w:val="20"/>
                <w:b w:val="1"/>
                <w:bCs w:val="1"/>
                <w:color w:val="auto"/>
              </w:rPr>
              <w:t>Media</w:t>
            </w:r>
          </w:p>
        </w:tc>
        <w:tc>
          <w:tcPr>
            <w:tcW w:w="2540" w:type="dxa"/>
            <w:vAlign w:val="bottom"/>
            <w:gridSpan w:val="2"/>
          </w:tcPr>
          <w:p>
            <w:pPr>
              <w:ind w:left="520"/>
              <w:spacing w:after="0"/>
              <w:rPr>
                <w:sz w:val="20"/>
                <w:szCs w:val="20"/>
                <w:color w:val="auto"/>
              </w:rPr>
            </w:pPr>
            <w:r>
              <w:rPr>
                <w:rFonts w:ascii="Arial" w:cs="Arial" w:eastAsia="Arial" w:hAnsi="Arial"/>
                <w:sz w:val="20"/>
                <w:szCs w:val="20"/>
                <w:color w:val="auto"/>
              </w:rPr>
              <w:t>Cassie France-Kelly</w:t>
            </w:r>
          </w:p>
        </w:tc>
        <w:tc>
          <w:tcPr>
            <w:tcW w:w="2460" w:type="dxa"/>
            <w:vAlign w:val="bottom"/>
          </w:tcPr>
          <w:p>
            <w:pPr>
              <w:ind w:left="240"/>
              <w:spacing w:after="0"/>
              <w:rPr>
                <w:sz w:val="20"/>
                <w:szCs w:val="20"/>
                <w:color w:val="auto"/>
              </w:rPr>
            </w:pPr>
            <w:r>
              <w:rPr>
                <w:rFonts w:ascii="Arial" w:cs="Arial" w:eastAsia="Arial" w:hAnsi="Arial"/>
                <w:sz w:val="20"/>
                <w:szCs w:val="20"/>
                <w:color w:val="auto"/>
              </w:rPr>
              <w:t>VP, Communications</w:t>
            </w:r>
          </w:p>
        </w:tc>
        <w:tc>
          <w:tcPr>
            <w:tcW w:w="2940" w:type="dxa"/>
            <w:vAlign w:val="bottom"/>
          </w:tcPr>
          <w:p>
            <w:pPr>
              <w:ind w:left="300"/>
              <w:spacing w:after="0"/>
              <w:rPr>
                <w:sz w:val="20"/>
                <w:szCs w:val="20"/>
                <w:color w:val="auto"/>
              </w:rPr>
            </w:pPr>
            <w:r>
              <w:rPr>
                <w:rFonts w:ascii="Arial" w:cs="Arial" w:eastAsia="Arial" w:hAnsi="Arial"/>
                <w:sz w:val="20"/>
                <w:szCs w:val="20"/>
                <w:color w:val="auto"/>
              </w:rPr>
              <w:t>+1 804 594 0836</w:t>
            </w:r>
          </w:p>
        </w:tc>
      </w:tr>
    </w:tbl>
    <w:p>
      <w:pPr>
        <w:spacing w:after="0" w:line="22"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Indiviormediacontacts@indivior.com</w:t>
      </w:r>
    </w:p>
    <w:sectPr>
      <w:pgSz w:w="11900" w:h="16838" w:orient="portrait"/>
      <w:cols w:equalWidth="0" w:num="1">
        <w:col w:w="11100"/>
      </w:cols>
      <w:pgMar w:left="32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2026-05-04T06:02:38Z</dcterms:created>
  <dcterms:modified xsi:type="dcterms:W3CDTF">2026-05-04T06:02:38Z</dcterms:modified>
</cp:coreProperties>
</file>