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1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18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val="false"/>
          <w:color w:val="000000"/>
          <w:sz w:val="20"/>
          <w:shd w:fill="FFFFFF" w:val="clear"/>
        </w:rPr>
        <w:t>May 13, 2026</w:t>
      </w:r>
    </w:p>
    <w:p>
      <w:pPr>
        <w:pStyle w:val="TextBody"/>
        <w:bidi w:val="0"/>
        <w:spacing w:lineRule="auto" w:line="288" w:before="126" w:after="180"/>
        <w:jc w:val="center"/>
        <w:rPr>
          <w:rFonts w:ascii="Times New Roman;serif" w:hAnsi="Times New Roman;serif"/>
          <w:b/>
          <w:color w:val="000000"/>
          <w:sz w:val="48"/>
        </w:rPr>
      </w:pPr>
      <w:r>
        <w:rPr>
          <w:rFonts w:ascii="Times New Roman;serif" w:hAnsi="Times New Roman;serif"/>
          <w:b/>
          <w:color w:val="000000"/>
          <w:sz w:val="48"/>
        </w:rPr>
        <w:t>INDIVIOR PHARMACEUTICALS, INC.</w:t>
      </w:r>
    </w:p>
    <w:p>
      <w:pPr>
        <w:pStyle w:val="TextBody"/>
        <w:bidi w:val="0"/>
        <w:spacing w:lineRule="auto" w:line="288" w:before="56"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707" w:type="dxa"/>
        <w:jc w:val="center"/>
        <w:tblInd w:w="0" w:type="dxa"/>
        <w:tblLayout w:type="fixed"/>
        <w:tblCellMar>
          <w:top w:w="28" w:type="dxa"/>
          <w:left w:w="28" w:type="dxa"/>
          <w:bottom w:w="28" w:type="dxa"/>
          <w:right w:w="28" w:type="dxa"/>
        </w:tblCellMar>
      </w:tblPr>
      <w:tblGrid>
        <w:gridCol w:w="1150"/>
        <w:gridCol w:w="1011"/>
        <w:gridCol w:w="1018"/>
        <w:gridCol w:w="662"/>
        <w:gridCol w:w="662"/>
        <w:gridCol w:w="670"/>
        <w:gridCol w:w="740"/>
        <w:gridCol w:w="740"/>
        <w:gridCol w:w="10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001-37835</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41-2520873</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 w:after="283"/>
              <w:ind w:left="0" w:right="0" w:hanging="411"/>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4663" w:type="dxa"/>
        <w:jc w:val="center"/>
        <w:tblInd w:w="0" w:type="dxa"/>
        <w:tblLayout w:type="fixed"/>
        <w:tblCellMar>
          <w:top w:w="28" w:type="dxa"/>
          <w:left w:w="28" w:type="dxa"/>
          <w:bottom w:w="28" w:type="dxa"/>
          <w:right w:w="28" w:type="dxa"/>
        </w:tblCellMar>
      </w:tblPr>
      <w:tblGrid>
        <w:gridCol w:w="1195"/>
        <w:gridCol w:w="1051"/>
        <w:gridCol w:w="1054"/>
        <w:gridCol w:w="109"/>
        <w:gridCol w:w="109"/>
        <w:gridCol w:w="109"/>
        <w:gridCol w:w="303"/>
        <w:gridCol w:w="303"/>
        <w:gridCol w:w="430"/>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10710 Midlothian Turnpike, Suite 125</w:t>
            </w:r>
          </w:p>
          <w:p>
            <w:pPr>
              <w:pStyle w:val="TableContents"/>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North Chesterfield, 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23235</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80"/>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804-379-1090</w:t>
      </w:r>
    </w:p>
    <w:tbl>
      <w:tblPr>
        <w:tblW w:w="5070" w:type="dxa"/>
        <w:jc w:val="center"/>
        <w:tblInd w:w="0" w:type="dxa"/>
        <w:tblLayout w:type="fixed"/>
        <w:tblCellMar>
          <w:top w:w="28" w:type="dxa"/>
          <w:left w:w="28" w:type="dxa"/>
          <w:bottom w:w="28" w:type="dxa"/>
          <w:right w:w="28" w:type="dxa"/>
        </w:tblCellMar>
      </w:tblPr>
      <w:tblGrid>
        <w:gridCol w:w="1623"/>
        <w:gridCol w:w="1425"/>
        <w:gridCol w:w="2022"/>
      </w:tblGrid>
      <w:tr>
        <w:trPr/>
        <w:tc>
          <w:tcPr>
            <w:tcW w:w="162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6"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180"/>
        <w:ind w:left="0" w:right="0" w:firstLine="63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992" w:type="dxa"/>
        <w:jc w:val="left"/>
        <w:tblInd w:w="0" w:type="dxa"/>
        <w:tblLayout w:type="fixed"/>
        <w:tblCellMar>
          <w:top w:w="28" w:type="dxa"/>
          <w:left w:w="28" w:type="dxa"/>
          <w:bottom w:w="28" w:type="dxa"/>
          <w:right w:w="28" w:type="dxa"/>
        </w:tblCellMar>
      </w:tblPr>
      <w:tblGrid>
        <w:gridCol w:w="1291"/>
        <w:gridCol w:w="1132"/>
        <w:gridCol w:w="1147"/>
        <w:gridCol w:w="109"/>
        <w:gridCol w:w="109"/>
        <w:gridCol w:w="109"/>
        <w:gridCol w:w="484"/>
        <w:gridCol w:w="484"/>
        <w:gridCol w:w="486"/>
        <w:gridCol w:w="109"/>
        <w:gridCol w:w="109"/>
        <w:gridCol w:w="109"/>
        <w:gridCol w:w="970"/>
        <w:gridCol w:w="970"/>
        <w:gridCol w:w="1374"/>
      </w:tblGrid>
      <w:tr>
        <w:trPr/>
        <w:tc>
          <w:tcPr>
            <w:tcW w:w="129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304" w:before="53" w:after="30"/>
              <w:jc w:val="left"/>
              <w:rPr>
                <w:rFonts w:ascii="Times New Roman;serif" w:hAnsi="Times New Roman;serif"/>
                <w:b/>
                <w:color w:val="2B2D34"/>
                <w:sz w:val="16"/>
              </w:rPr>
            </w:pPr>
            <w:r>
              <w:rPr>
                <w:rFonts w:ascii="Times New Roman;serif" w:hAnsi="Times New Roman;serif"/>
                <w:b/>
                <w:color w:val="2B2D34"/>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145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2B2D34"/>
                <w:sz w:val="16"/>
              </w:rPr>
            </w:pPr>
            <w:r>
              <w:rPr>
                <w:rFonts w:ascii="Times New Roman;serif" w:hAnsi="Times New Roman;serif"/>
                <w:b/>
                <w:color w:val="2B2D34"/>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314" w:type="dxa"/>
            <w:gridSpan w:val="3"/>
            <w:tcBorders/>
            <w:tcMar>
              <w:top w:w="0" w:type="dxa"/>
              <w:left w:w="0" w:type="dxa"/>
              <w:bottom w:w="0" w:type="dxa"/>
              <w:right w:w="0" w:type="dxa"/>
            </w:tcMar>
            <w:vAlign w:val="center"/>
          </w:tcPr>
          <w:p>
            <w:pPr>
              <w:pStyle w:val="TableContents"/>
              <w:bidi w:val="0"/>
              <w:spacing w:lineRule="auto" w:line="304" w:before="53" w:after="30"/>
              <w:jc w:val="left"/>
              <w:rPr>
                <w:rFonts w:ascii="Times New Roman;serif" w:hAnsi="Times New Roman;serif"/>
                <w:b/>
                <w:color w:val="2B2D34"/>
                <w:sz w:val="16"/>
              </w:rPr>
            </w:pPr>
            <w:r>
              <w:rPr>
                <w:rFonts w:ascii="Times New Roman;serif" w:hAnsi="Times New Roman;serif"/>
                <w:b/>
                <w:color w:val="2B2D34"/>
                <w:sz w:val="16"/>
              </w:rPr>
              <w:t>Name of each exchange on which registered</w:t>
            </w:r>
          </w:p>
        </w:tc>
      </w:tr>
      <w:tr>
        <w:trPr/>
        <w:tc>
          <w:tcPr>
            <w:tcW w:w="35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INDV</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w:t>
      </w:r>
    </w:p>
    <w:p>
      <w:pPr>
        <w:pStyle w:val="TextBody"/>
        <w:bidi w:val="0"/>
        <w:spacing w:lineRule="auto" w:line="288" w:before="0" w:after="0"/>
        <w:jc w:val="right"/>
        <w:rPr>
          <w:color w:val="000000"/>
          <w:shd w:fill="FFFFFF" w:val="clear"/>
        </w:rPr>
      </w:pPr>
      <w:r>
        <w:rPr>
          <w:color w:val="000000"/>
          <w:shd w:fill="FFFFFF" w:val="clear"/>
        </w:rPr>
        <w:t>☐</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color w:val="000000"/>
          <w:shd w:fill="FFFFFF" w:val="clear"/>
        </w:rPr>
      </w:pP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68" w:before="0" w:after="0"/>
        <w:jc w:val="left"/>
        <w:rPr/>
      </w:pPr>
      <w:r>
        <w:rPr>
          <w:rFonts w:ascii="Times New Roman;serif" w:hAnsi="Times New Roman;serif"/>
          <w:b/>
          <w:color w:val="000000"/>
          <w:sz w:val="20"/>
        </w:rPr>
        <w:t>Item 5.02 Departure of Directors or Certain Officers; Election of Directors; Appointment of Certain Officers; Compensatory Arrangements of Certain Officers.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(b) Effective June 1, 2026, </w:t>
      </w:r>
      <w:r>
        <w:rPr>
          <w:rFonts w:ascii="Times New Roman;serif" w:hAnsi="Times New Roman;serif"/>
          <w:b w:val="false"/>
          <w:color w:val="000000"/>
          <w:sz w:val="20"/>
        </w:rPr>
        <w:t xml:space="preserve">Indivior Pharmaceuticals, Inc. (the "Company" or the "Registrant") will eliminate the position of Chief Scientific Officer. Dr. Christian Heidbreder will continue to report to the CEO in an advisory capacity </w:t>
      </w:r>
      <w:r>
        <w:rPr>
          <w:rFonts w:ascii="Times New Roman;serif" w:hAnsi="Times New Roman;serif"/>
          <w:b w:val="false"/>
          <w:color w:val="000000"/>
          <w:sz w:val="20"/>
          <w:shd w:fill="FFFFFF" w:val="clear"/>
        </w:rPr>
        <w:t>on special projects</w:t>
      </w:r>
      <w:r>
        <w:rPr>
          <w:color w:val="000000"/>
        </w:rPr>
        <w:t xml:space="preserve"> </w:t>
      </w:r>
      <w:r>
        <w:rPr>
          <w:rFonts w:ascii="Times New Roman;serif" w:hAnsi="Times New Roman;serif"/>
          <w:b w:val="false"/>
          <w:color w:val="000000"/>
          <w:sz w:val="20"/>
        </w:rPr>
        <w:t>through the end of 2026. Dr. Heidbreder's employment will terminate on December 31, 2026, and his termination will be treated as a termination without cause pursuant to the terms of his existing employment agreement with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held a virtual annual meeting of stockholders on May 13, 2026, at 10:00 a.m. Eastern Time. A total of 121,922,058 shares of common stock of the Company were entitled to vote as of March 18, 2026, the record date for the Annual Meeting, of which 100,407,7225 were present in person or by proxy at the Annual Meeting. Details of each matter voted upon were described in a definitive proxy statement filed with the U.S. Securities and Exchange Commission on March 27, 2026 (the "Proxy Statement"). The stockholders duly elected each person nominated to serve as a director, and approved each matter presented, by the following votes: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1.</w:t>
      </w:r>
      <w:r>
        <w:rPr>
          <w:rFonts w:ascii="Times New Roman;serif" w:hAnsi="Times New Roman;serif"/>
          <w:b w:val="false"/>
          <w:color w:val="000000"/>
          <w:sz w:val="20"/>
        </w:rPr>
        <w:t>To elect eight director nominees, each to serve for a one-year term extending until our 2027 Annual Meeting of Shareholders and until their successors are duly elected and qualified:</w:t>
      </w:r>
    </w:p>
    <w:p>
      <w:pPr>
        <w:pStyle w:val="TextBody"/>
        <w:bidi w:val="0"/>
        <w:spacing w:before="0" w:after="0"/>
        <w:jc w:val="left"/>
        <w:rPr/>
      </w:pPr>
      <w:r>
        <w:rPr/>
      </w:r>
    </w:p>
    <w:tbl>
      <w:tblPr>
        <w:tblW w:w="7259" w:type="dxa"/>
        <w:jc w:val="left"/>
        <w:tblInd w:w="0" w:type="dxa"/>
        <w:tblLayout w:type="fixed"/>
        <w:tblCellMar>
          <w:top w:w="28" w:type="dxa"/>
          <w:left w:w="28" w:type="dxa"/>
          <w:bottom w:w="28" w:type="dxa"/>
          <w:right w:w="28" w:type="dxa"/>
        </w:tblCellMar>
      </w:tblPr>
      <w:tblGrid>
        <w:gridCol w:w="660"/>
        <w:gridCol w:w="580"/>
        <w:gridCol w:w="589"/>
        <w:gridCol w:w="344"/>
        <w:gridCol w:w="344"/>
        <w:gridCol w:w="348"/>
        <w:gridCol w:w="419"/>
        <w:gridCol w:w="419"/>
        <w:gridCol w:w="421"/>
        <w:gridCol w:w="484"/>
        <w:gridCol w:w="484"/>
        <w:gridCol w:w="486"/>
        <w:gridCol w:w="492"/>
        <w:gridCol w:w="492"/>
        <w:gridCol w:w="697"/>
      </w:tblGrid>
      <w:tr>
        <w:trPr/>
        <w:tc>
          <w:tcPr>
            <w:tcW w:w="6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Nominee</w:t>
            </w:r>
          </w:p>
        </w:tc>
        <w:tc>
          <w:tcPr>
            <w:tcW w:w="103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Abstained</w:t>
            </w:r>
          </w:p>
        </w:tc>
        <w:tc>
          <w:tcPr>
            <w:tcW w:w="16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82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Wheadon</w:t>
            </w:r>
          </w:p>
        </w:tc>
        <w:tc>
          <w:tcPr>
            <w:tcW w:w="1036"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91,378,828</w:t>
            </w:r>
          </w:p>
        </w:tc>
        <w:tc>
          <w:tcPr>
            <w:tcW w:w="125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1,534,064</w:t>
            </w:r>
          </w:p>
        </w:tc>
        <w:tc>
          <w:tcPr>
            <w:tcW w:w="145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24,804</w:t>
            </w:r>
          </w:p>
        </w:tc>
        <w:tc>
          <w:tcPr>
            <w:tcW w:w="1681" w:type="dxa"/>
            <w:gridSpan w:val="3"/>
            <w:tcBorders>
              <w:top w:val="single" w:sz="2" w:space="0" w:color="000000"/>
              <w:left w:val="single" w:sz="2" w:space="0" w:color="000000"/>
              <w:right w:val="single" w:sz="2"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r>
        <w:trPr/>
        <w:tc>
          <w:tcPr>
            <w:tcW w:w="182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 Ciaffoni</w:t>
            </w:r>
          </w:p>
        </w:tc>
        <w:tc>
          <w:tcPr>
            <w:tcW w:w="1036"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92,834,811</w:t>
            </w:r>
          </w:p>
        </w:tc>
        <w:tc>
          <w:tcPr>
            <w:tcW w:w="125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76,839</w:t>
            </w:r>
          </w:p>
        </w:tc>
        <w:tc>
          <w:tcPr>
            <w:tcW w:w="1454"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26,046</w:t>
            </w:r>
          </w:p>
        </w:tc>
        <w:tc>
          <w:tcPr>
            <w:tcW w:w="1681"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r>
        <w:trPr/>
        <w:tc>
          <w:tcPr>
            <w:tcW w:w="182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Keith Humphreys</w:t>
            </w:r>
          </w:p>
        </w:tc>
        <w:tc>
          <w:tcPr>
            <w:tcW w:w="1036"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92,839,955</w:t>
            </w:r>
          </w:p>
        </w:tc>
        <w:tc>
          <w:tcPr>
            <w:tcW w:w="125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72,084</w:t>
            </w:r>
          </w:p>
        </w:tc>
        <w:tc>
          <w:tcPr>
            <w:tcW w:w="145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w:t>
            </w:r>
          </w:p>
        </w:tc>
        <w:tc>
          <w:tcPr>
            <w:tcW w:w="1681" w:type="dxa"/>
            <w:gridSpan w:val="3"/>
            <w:tcBorders>
              <w:top w:val="single" w:sz="2" w:space="0" w:color="000000"/>
              <w:left w:val="single" w:sz="2" w:space="0" w:color="000000"/>
              <w:right w:val="single" w:sz="2"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r>
        <w:trPr/>
        <w:tc>
          <w:tcPr>
            <w:tcW w:w="182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Tony Kingsley</w:t>
            </w:r>
          </w:p>
        </w:tc>
        <w:tc>
          <w:tcPr>
            <w:tcW w:w="1036"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92,839,469</w:t>
            </w:r>
          </w:p>
        </w:tc>
        <w:tc>
          <w:tcPr>
            <w:tcW w:w="125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72,503</w:t>
            </w:r>
          </w:p>
        </w:tc>
        <w:tc>
          <w:tcPr>
            <w:tcW w:w="1454"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25,724</w:t>
            </w:r>
          </w:p>
        </w:tc>
        <w:tc>
          <w:tcPr>
            <w:tcW w:w="1681"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r>
        <w:trPr/>
        <w:tc>
          <w:tcPr>
            <w:tcW w:w="182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Ninivaggi</w:t>
            </w:r>
          </w:p>
        </w:tc>
        <w:tc>
          <w:tcPr>
            <w:tcW w:w="1036"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87,545,032</w:t>
            </w:r>
          </w:p>
        </w:tc>
        <w:tc>
          <w:tcPr>
            <w:tcW w:w="125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5,366,849</w:t>
            </w:r>
          </w:p>
        </w:tc>
        <w:tc>
          <w:tcPr>
            <w:tcW w:w="145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25,815</w:t>
            </w:r>
          </w:p>
        </w:tc>
        <w:tc>
          <w:tcPr>
            <w:tcW w:w="1681" w:type="dxa"/>
            <w:gridSpan w:val="3"/>
            <w:tcBorders>
              <w:top w:val="single" w:sz="2" w:space="0" w:color="000000"/>
              <w:left w:val="single" w:sz="2" w:space="0" w:color="000000"/>
              <w:right w:val="single" w:sz="2"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r>
        <w:trPr/>
        <w:tc>
          <w:tcPr>
            <w:tcW w:w="182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Barbara Ryan</w:t>
            </w:r>
          </w:p>
        </w:tc>
        <w:tc>
          <w:tcPr>
            <w:tcW w:w="1036"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91,562,195</w:t>
            </w:r>
          </w:p>
        </w:tc>
        <w:tc>
          <w:tcPr>
            <w:tcW w:w="125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1,302,383</w:t>
            </w:r>
          </w:p>
        </w:tc>
        <w:tc>
          <w:tcPr>
            <w:tcW w:w="1454"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73,118</w:t>
            </w:r>
          </w:p>
        </w:tc>
        <w:tc>
          <w:tcPr>
            <w:tcW w:w="1681"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r>
        <w:trPr/>
        <w:tc>
          <w:tcPr>
            <w:tcW w:w="182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Stejbach</w:t>
            </w:r>
          </w:p>
        </w:tc>
        <w:tc>
          <w:tcPr>
            <w:tcW w:w="1036"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92,838,962</w:t>
            </w:r>
          </w:p>
        </w:tc>
        <w:tc>
          <w:tcPr>
            <w:tcW w:w="125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72,847</w:t>
            </w:r>
          </w:p>
        </w:tc>
        <w:tc>
          <w:tcPr>
            <w:tcW w:w="145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25,887</w:t>
            </w:r>
          </w:p>
        </w:tc>
        <w:tc>
          <w:tcPr>
            <w:tcW w:w="1681" w:type="dxa"/>
            <w:gridSpan w:val="3"/>
            <w:tcBorders>
              <w:top w:val="single" w:sz="2" w:space="0" w:color="000000"/>
              <w:left w:val="single" w:sz="2" w:space="0" w:color="000000"/>
              <w:right w:val="single" w:sz="2"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r>
        <w:trPr/>
        <w:tc>
          <w:tcPr>
            <w:tcW w:w="1829"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Juliet Thompson</w:t>
            </w:r>
          </w:p>
        </w:tc>
        <w:tc>
          <w:tcPr>
            <w:tcW w:w="1036"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92,136,342</w:t>
            </w:r>
          </w:p>
        </w:tc>
        <w:tc>
          <w:tcPr>
            <w:tcW w:w="1259"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728,040</w:t>
            </w:r>
          </w:p>
        </w:tc>
        <w:tc>
          <w:tcPr>
            <w:tcW w:w="1454"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73,314</w:t>
            </w:r>
          </w:p>
        </w:tc>
        <w:tc>
          <w:tcPr>
            <w:tcW w:w="1681" w:type="dxa"/>
            <w:gridSpan w:val="3"/>
            <w:tcBorders>
              <w:top w:val="single" w:sz="2" w:space="0" w:color="000000"/>
              <w:left w:val="single" w:sz="2" w:space="0" w:color="000000"/>
              <w:bottom w:val="single" w:sz="2" w:space="0" w:color="000000"/>
              <w:right w:val="single" w:sz="2" w:space="0" w:color="000000"/>
            </w:tcBorders>
            <w:shd w:fill="FFFF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bl>
    <w:p>
      <w:pPr>
        <w:pStyle w:val="TextBody"/>
        <w:bidi w:val="0"/>
        <w:spacing w:before="0" w:after="0"/>
        <w:jc w:val="left"/>
        <w:rPr/>
      </w:pPr>
      <w:r>
        <w:rPr/>
      </w:r>
    </w:p>
    <w:p>
      <w:pPr>
        <w:pStyle w:val="TextBody"/>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To approve, on an advisory basis, the compensation of our named executive officers as disclosed in the Proxy Statement (Say-on-Pay):</w:t>
      </w:r>
    </w:p>
    <w:p>
      <w:pPr>
        <w:pStyle w:val="TextBody"/>
        <w:bidi w:val="0"/>
        <w:spacing w:before="0" w:after="0"/>
        <w:jc w:val="left"/>
        <w:rPr/>
      </w:pPr>
      <w:r>
        <w:rPr/>
      </w:r>
    </w:p>
    <w:tbl>
      <w:tblPr>
        <w:tblW w:w="5445" w:type="dxa"/>
        <w:jc w:val="center"/>
        <w:tblInd w:w="0" w:type="dxa"/>
        <w:tblLayout w:type="fixed"/>
        <w:tblCellMar>
          <w:top w:w="28" w:type="dxa"/>
          <w:left w:w="28" w:type="dxa"/>
          <w:bottom w:w="28" w:type="dxa"/>
          <w:right w:w="28" w:type="dxa"/>
        </w:tblCellMar>
      </w:tblPr>
      <w:tblGrid>
        <w:gridCol w:w="380"/>
        <w:gridCol w:w="333"/>
        <w:gridCol w:w="338"/>
        <w:gridCol w:w="419"/>
        <w:gridCol w:w="419"/>
        <w:gridCol w:w="421"/>
        <w:gridCol w:w="484"/>
        <w:gridCol w:w="484"/>
        <w:gridCol w:w="486"/>
        <w:gridCol w:w="492"/>
        <w:gridCol w:w="492"/>
        <w:gridCol w:w="697"/>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Abstained</w:t>
            </w:r>
          </w:p>
        </w:tc>
        <w:tc>
          <w:tcPr>
            <w:tcW w:w="16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51"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90,364,566</w:t>
            </w:r>
          </w:p>
        </w:tc>
        <w:tc>
          <w:tcPr>
            <w:tcW w:w="1259"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1,324,996</w:t>
            </w:r>
          </w:p>
        </w:tc>
        <w:tc>
          <w:tcPr>
            <w:tcW w:w="1454"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1,248,134</w:t>
            </w:r>
          </w:p>
        </w:tc>
        <w:tc>
          <w:tcPr>
            <w:tcW w:w="1681" w:type="dxa"/>
            <w:gridSpan w:val="3"/>
            <w:tcBorders>
              <w:top w:val="single" w:sz="2" w:space="0" w:color="000000"/>
              <w:left w:val="single" w:sz="2" w:space="0" w:color="000000"/>
              <w:bottom w:val="single" w:sz="2" w:space="0" w:color="000000"/>
              <w:right w:val="single" w:sz="2" w:space="0" w:color="000000"/>
            </w:tcBorders>
            <w:shd w:fill="CCEE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bl>
    <w:p>
      <w:pPr>
        <w:pStyle w:val="TextBody"/>
        <w:bidi w:val="0"/>
        <w:spacing w:before="0" w:after="0"/>
        <w:jc w:val="left"/>
        <w:rPr/>
      </w:pPr>
      <w:r>
        <w:rPr/>
      </w:r>
    </w:p>
    <w:p>
      <w:pPr>
        <w:pStyle w:val="TextBody"/>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3. To indicate, on an advisory basis, the preferred frequency of shareholder advisory votes on the compensation of our named executive officers (Say-on-Frequency):</w:t>
      </w:r>
    </w:p>
    <w:p>
      <w:pPr>
        <w:pStyle w:val="TextBody"/>
        <w:bidi w:val="0"/>
        <w:spacing w:before="0" w:after="0"/>
        <w:jc w:val="left"/>
        <w:rPr/>
      </w:pPr>
      <w:r>
        <w:rPr/>
      </w:r>
    </w:p>
    <w:tbl>
      <w:tblPr>
        <w:tblW w:w="7935" w:type="dxa"/>
        <w:jc w:val="left"/>
        <w:tblInd w:w="0" w:type="dxa"/>
        <w:tblLayout w:type="fixed"/>
        <w:tblCellMar>
          <w:top w:w="28" w:type="dxa"/>
          <w:left w:w="28" w:type="dxa"/>
          <w:bottom w:w="28" w:type="dxa"/>
          <w:right w:w="28" w:type="dxa"/>
        </w:tblCellMar>
      </w:tblPr>
      <w:tblGrid>
        <w:gridCol w:w="565"/>
        <w:gridCol w:w="497"/>
        <w:gridCol w:w="498"/>
        <w:gridCol w:w="539"/>
        <w:gridCol w:w="539"/>
        <w:gridCol w:w="541"/>
        <w:gridCol w:w="539"/>
        <w:gridCol w:w="539"/>
        <w:gridCol w:w="541"/>
        <w:gridCol w:w="485"/>
        <w:gridCol w:w="485"/>
        <w:gridCol w:w="486"/>
        <w:gridCol w:w="492"/>
        <w:gridCol w:w="492"/>
        <w:gridCol w:w="69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 1 Year</w:t>
            </w:r>
          </w:p>
        </w:tc>
        <w:tc>
          <w:tcPr>
            <w:tcW w:w="161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 2 Years</w:t>
            </w:r>
          </w:p>
        </w:tc>
        <w:tc>
          <w:tcPr>
            <w:tcW w:w="161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 3 Years</w:t>
            </w:r>
          </w:p>
        </w:tc>
        <w:tc>
          <w:tcPr>
            <w:tcW w:w="145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Abstained</w:t>
            </w:r>
          </w:p>
        </w:tc>
        <w:tc>
          <w:tcPr>
            <w:tcW w:w="16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560"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91,848,954</w:t>
            </w:r>
          </w:p>
        </w:tc>
        <w:tc>
          <w:tcPr>
            <w:tcW w:w="1619"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21,701</w:t>
            </w:r>
          </w:p>
        </w:tc>
        <w:tc>
          <w:tcPr>
            <w:tcW w:w="1619"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1,032,941</w:t>
            </w:r>
          </w:p>
        </w:tc>
        <w:tc>
          <w:tcPr>
            <w:tcW w:w="1456"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34,100</w:t>
            </w:r>
          </w:p>
        </w:tc>
        <w:tc>
          <w:tcPr>
            <w:tcW w:w="1681" w:type="dxa"/>
            <w:gridSpan w:val="3"/>
            <w:tcBorders>
              <w:top w:val="single" w:sz="2" w:space="0" w:color="000000"/>
              <w:left w:val="single" w:sz="2" w:space="0" w:color="000000"/>
              <w:bottom w:val="single" w:sz="2" w:space="0" w:color="000000"/>
              <w:right w:val="single" w:sz="2" w:space="0" w:color="000000"/>
            </w:tcBorders>
            <w:shd w:fill="CCEE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7,470,026</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light of the shareholder vote, and in keeping with the Board’s recommendation on Proposal 3, the Company will hold a “say-on-pay” vote annually until the next vote on the frequency of “say-on-pay” votes is required (which will be no later than the 2032 Annual Meeting of Shareholders) or until the Board determines that a different frequency for “say-on-pay” votes is in the best interest of the Corporation and its shareholders.</w:t>
      </w:r>
    </w:p>
    <w:p>
      <w:pPr>
        <w:pStyle w:val="TextBody"/>
        <w:bidi w:val="0"/>
        <w:spacing w:before="0" w:after="0"/>
        <w:jc w:val="left"/>
        <w:rPr/>
      </w:pPr>
      <w:r>
        <w:rPr/>
      </w:r>
    </w:p>
    <w:p>
      <w:pPr>
        <w:pStyle w:val="TextBody"/>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 To ratify the appointment of PricewaterhouseCoopers LLP US (PwC) as our independent registered public accounting firm for the fiscal year ending December 31, 2026:</w:t>
      </w:r>
    </w:p>
    <w:p>
      <w:pPr>
        <w:pStyle w:val="TextBody"/>
        <w:bidi w:val="0"/>
        <w:spacing w:before="0" w:after="0"/>
        <w:ind w:left="0" w:right="0" w:firstLine="360"/>
        <w:jc w:val="left"/>
        <w:rPr/>
      </w:pPr>
      <w:r>
        <w:rPr/>
      </w:r>
    </w:p>
    <w:tbl>
      <w:tblPr>
        <w:tblW w:w="5445" w:type="dxa"/>
        <w:jc w:val="center"/>
        <w:tblInd w:w="0" w:type="dxa"/>
        <w:tblLayout w:type="fixed"/>
        <w:tblCellMar>
          <w:top w:w="28" w:type="dxa"/>
          <w:left w:w="28" w:type="dxa"/>
          <w:bottom w:w="28" w:type="dxa"/>
          <w:right w:w="28" w:type="dxa"/>
        </w:tblCellMar>
      </w:tblPr>
      <w:tblGrid>
        <w:gridCol w:w="380"/>
        <w:gridCol w:w="333"/>
        <w:gridCol w:w="338"/>
        <w:gridCol w:w="419"/>
        <w:gridCol w:w="419"/>
        <w:gridCol w:w="421"/>
        <w:gridCol w:w="484"/>
        <w:gridCol w:w="484"/>
        <w:gridCol w:w="486"/>
        <w:gridCol w:w="492"/>
        <w:gridCol w:w="492"/>
        <w:gridCol w:w="697"/>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Abstained</w:t>
            </w:r>
          </w:p>
        </w:tc>
        <w:tc>
          <w:tcPr>
            <w:tcW w:w="16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51"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99,146,241</w:t>
            </w:r>
          </w:p>
        </w:tc>
        <w:tc>
          <w:tcPr>
            <w:tcW w:w="1259"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1,237,984</w:t>
            </w:r>
          </w:p>
        </w:tc>
        <w:tc>
          <w:tcPr>
            <w:tcW w:w="1454"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23,497</w:t>
            </w:r>
          </w:p>
        </w:tc>
        <w:tc>
          <w:tcPr>
            <w:tcW w:w="1681" w:type="dxa"/>
            <w:gridSpan w:val="3"/>
            <w:tcBorders>
              <w:top w:val="single" w:sz="2" w:space="0" w:color="000000"/>
              <w:left w:val="single" w:sz="2" w:space="0" w:color="000000"/>
              <w:bottom w:val="single" w:sz="2" w:space="0" w:color="000000"/>
              <w:right w:val="single" w:sz="2" w:space="0" w:color="000000"/>
            </w:tcBorders>
            <w:shd w:fill="CCEE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781050"/>
                <wp:effectExtent l="0" t="0" r="0" b="0"/>
                <wp:wrapNone/>
                <wp:docPr id="2" name="Frame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18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4873"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98"/>
        <w:gridCol w:w="798"/>
        <w:gridCol w:w="113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Indivior Pharmaceuticals,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May 15,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Preblick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Ryan Preblick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81050"/>
                <wp:effectExtent l="0" t="0" r="0" b="0"/>
                <wp:wrapNone/>
                <wp:docPr id="3" name="Frame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4748</Characters>
  <CharactersWithSpaces>5463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