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81915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121285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INDIVIOR PHARMACEUTICALS,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0" w:lineRule="exact"/>
        <w:rPr>
          <w:sz w:val="24"/>
          <w:szCs w:val="24"/>
          <w:color w:val="auto"/>
        </w:rPr>
      </w:pPr>
    </w:p>
    <w:tbl>
      <w:tblPr>
        <w:tblLayout w:type="fixed"/>
        <w:tblInd w:w="1380" w:type="dxa"/>
        <w:tblCellMar>
          <w:top w:w="0" w:type="dxa"/>
          <w:left w:w="0" w:type="dxa"/>
          <w:bottom w:w="0" w:type="dxa"/>
          <w:right w:w="0" w:type="dxa"/>
        </w:tblCellMar>
      </w:tblPr>
      <w:tr>
        <w:trPr>
          <w:trHeight w:val="150"/>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001-37835</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41-2520873</w:t>
            </w:r>
          </w:p>
        </w:tc>
      </w:tr>
      <w:tr>
        <w:trPr>
          <w:trHeight w:val="104"/>
        </w:trPr>
        <w:tc>
          <w:tcPr>
            <w:tcW w:w="2040" w:type="dxa"/>
            <w:vAlign w:val="bottom"/>
          </w:tcPr>
          <w:p>
            <w:pPr>
              <w:jc w:val="center"/>
              <w:ind w:right="84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0"/>
                <w:szCs w:val="10"/>
                <w:b w:val="1"/>
                <w:bCs w:val="1"/>
                <w:color w:val="auto"/>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69" w:lineRule="exact"/>
        <w:rPr>
          <w:sz w:val="24"/>
          <w:szCs w:val="24"/>
          <w:color w:val="auto"/>
        </w:rPr>
      </w:pPr>
    </w:p>
    <w:p>
      <w:pPr>
        <w:sectPr>
          <w:pgSz w:w="11900" w:h="16838" w:orient="portrait"/>
          <w:cols w:equalWidth="0" w:num="1">
            <w:col w:w="9019"/>
          </w:cols>
          <w:pgMar w:left="1440" w:top="352" w:right="1440" w:bottom="1440" w:gutter="0" w:footer="0" w:header="0"/>
        </w:sect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10710 Midlothian Turnpike, Suite 125</w:t>
      </w:r>
    </w:p>
    <w:p>
      <w:pPr>
        <w:spacing w:after="0" w:line="2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North Chesterfield, VA</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23235</w:t>
      </w:r>
    </w:p>
    <w:p>
      <w:pPr>
        <w:spacing w:after="0" w:line="28" w:lineRule="exact"/>
        <w:rPr>
          <w:sz w:val="24"/>
          <w:szCs w:val="24"/>
          <w:color w:val="auto"/>
        </w:rPr>
      </w:pPr>
    </w:p>
    <w:p>
      <w:pPr>
        <w:sectPr>
          <w:pgSz w:w="11900" w:h="16838" w:orient="portrait"/>
          <w:cols w:equalWidth="0" w:num="2">
            <w:col w:w="5620" w:space="720"/>
            <w:col w:w="2679"/>
          </w:cols>
          <w:pgMar w:left="1440" w:top="352" w:right="1440"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61" w:lineRule="exact"/>
        <w:rPr>
          <w:sz w:val="24"/>
          <w:szCs w:val="24"/>
          <w:color w:val="auto"/>
        </w:rPr>
      </w:pPr>
    </w:p>
    <w:p>
      <w:pPr>
        <w:sectPr>
          <w:pgSz w:w="11900" w:h="16838" w:orient="portrait"/>
          <w:cols w:equalWidth="0" w:num="2">
            <w:col w:w="5540" w:space="720"/>
            <w:col w:w="2759"/>
          </w:cols>
          <w:pgMar w:left="1440" w:top="352"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804-379-1090</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98425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8" w:lineRule="exact"/>
        <w:rPr>
          <w:sz w:val="24"/>
          <w:szCs w:val="24"/>
          <w:color w:val="auto"/>
        </w:rPr>
      </w:pPr>
    </w:p>
    <w:p>
      <w:pPr>
        <w:ind w:left="640" w:right="979"/>
        <w:spacing w:after="0" w:line="266"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(see General Instruction A.2. below):</w:t>
      </w:r>
    </w:p>
    <w:p>
      <w:pPr>
        <w:spacing w:after="0" w:line="29"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59"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59"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59" w:lineRule="exact"/>
        <w:rPr>
          <w:rFonts w:ascii="MS PGothic" w:cs="MS PGothic" w:eastAsia="MS PGothic" w:hAnsi="MS PGothic"/>
          <w:sz w:val="13"/>
          <w:szCs w:val="13"/>
          <w:color w:val="auto"/>
        </w:rPr>
      </w:pPr>
    </w:p>
    <w:p>
      <w:pPr>
        <w:ind w:left="640" w:right="2439" w:hanging="3"/>
        <w:spacing w:after="0" w:line="369" w:lineRule="auto"/>
        <w:tabs>
          <w:tab w:leader="none" w:pos="94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INDV</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50"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11" w:lineRule="exact"/>
        <w:rPr>
          <w:sz w:val="24"/>
          <w:szCs w:val="24"/>
          <w:color w:val="auto"/>
        </w:rPr>
      </w:pPr>
    </w:p>
    <w:p>
      <w:pPr>
        <w:jc w:val="right"/>
        <w:ind w:right="639"/>
        <w:spacing w:after="0" w:line="131" w:lineRule="exact"/>
        <w:rPr>
          <w:sz w:val="20"/>
          <w:szCs w:val="20"/>
          <w:color w:val="auto"/>
        </w:rPr>
      </w:pPr>
      <w:r>
        <w:rPr>
          <w:rFonts w:ascii="MS PGothic" w:cs="MS PGothic" w:eastAsia="MS PGothic" w:hAnsi="MS PGothic"/>
          <w:sz w:val="13"/>
          <w:szCs w:val="13"/>
          <w:color w:val="auto"/>
        </w:rPr>
        <w:t>☐</w:t>
      </w:r>
    </w:p>
    <w:p>
      <w:pPr>
        <w:spacing w:after="0" w:line="88" w:lineRule="exact"/>
        <w:rPr>
          <w:sz w:val="24"/>
          <w:szCs w:val="24"/>
          <w:color w:val="auto"/>
        </w:rPr>
      </w:pPr>
    </w:p>
    <w:p>
      <w:pPr>
        <w:ind w:left="640" w:right="859"/>
        <w:spacing w:after="0" w:line="250" w:lineRule="auto"/>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jc w:val="right"/>
        <w:ind w:right="639"/>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118110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148590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3"/>
          <w:szCs w:val="13"/>
          <w:b w:val="1"/>
          <w:bCs w:val="1"/>
          <w:color w:val="auto"/>
        </w:rPr>
        <w:t>Results of Operations and Financial Condition.</w:t>
      </w:r>
    </w:p>
    <w:p>
      <w:pPr>
        <w:spacing w:after="0" w:line="80" w:lineRule="exact"/>
        <w:rPr>
          <w:sz w:val="20"/>
          <w:szCs w:val="20"/>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On April 30, 2026, Indivior Pharmaceuticals, Inc. (“Indivior” or the “Company”) issued a press release reporting its financial results for the period ended March 31, 2026. The press release is furnished as Exhibit 99.1 to this Current Report on Form 8-K.</w:t>
      </w:r>
    </w:p>
    <w:p>
      <w:pPr>
        <w:spacing w:after="0" w:line="22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3"/>
          <w:szCs w:val="13"/>
          <w:color w:val="auto"/>
        </w:rPr>
        <w:t>On April 30, 2026, the Company posted presentation materials on its website. The presentation materials are furnished as 99.2 to this Current Report on Form 8-K.</w:t>
      </w:r>
    </w:p>
    <w:p>
      <w:pPr>
        <w:spacing w:after="0" w:line="122" w:lineRule="exact"/>
        <w:rPr>
          <w:sz w:val="20"/>
          <w:szCs w:val="20"/>
          <w:color w:val="auto"/>
        </w:rPr>
      </w:pPr>
    </w:p>
    <w:p>
      <w:pPr>
        <w:ind w:left="640" w:right="1019"/>
        <w:spacing w:after="0" w:line="267" w:lineRule="auto"/>
        <w:rPr>
          <w:sz w:val="20"/>
          <w:szCs w:val="20"/>
          <w:color w:val="auto"/>
        </w:rPr>
      </w:pPr>
      <w:r>
        <w:rPr>
          <w:rFonts w:ascii="Times New Roman" w:cs="Times New Roman" w:eastAsia="Times New Roman" w:hAnsi="Times New Roman"/>
          <w:sz w:val="13"/>
          <w:szCs w:val="13"/>
          <w:color w:val="auto"/>
        </w:rPr>
        <w:t>Also on April 30, 2026, the Company updated its corporate presentation which is posted on its website. The corporate presentation is furnished as Exhibit 99.3 to this Current Report on Form 8-K.</w:t>
      </w:r>
    </w:p>
    <w:p>
      <w:pPr>
        <w:spacing w:after="0" w:line="22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b w:val="1"/>
          <w:bCs w:val="1"/>
          <w:color w:val="auto"/>
        </w:rPr>
        <w:t>Exhibit</w:t>
      </w:r>
    </w:p>
    <w:p>
      <w:pPr>
        <w:spacing w:after="0" w:line="1"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0"/>
          <w:szCs w:val="10"/>
          <w:b w:val="1"/>
          <w:bCs w:val="1"/>
          <w:color w:val="auto"/>
        </w:rPr>
        <w:t>No.</w:t>
      </w:r>
      <w:r>
        <w:rPr>
          <w:sz w:val="20"/>
          <w:szCs w:val="20"/>
          <w:color w:val="auto"/>
        </w:rPr>
        <w:tab/>
      </w:r>
      <w:r>
        <w:rPr>
          <w:rFonts w:ascii="Times New Roman" w:cs="Times New Roman" w:eastAsia="Times New Roman" w:hAnsi="Times New Roman"/>
          <w:sz w:val="10"/>
          <w:szCs w:val="10"/>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-3175</wp:posOffset>
            </wp:positionV>
            <wp:extent cx="20447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470" cy="5715"/>
                    </a:xfrm>
                    <a:prstGeom prst="rect">
                      <a:avLst/>
                    </a:prstGeom>
                    <a:noFill/>
                  </pic:spPr>
                </pic:pic>
              </a:graphicData>
            </a:graphic>
          </wp:anchor>
        </w:drawing>
      </w:r>
    </w:p>
    <w:p>
      <w:pPr>
        <w:spacing w:after="0" w:line="4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Press Release dated April 30, 2026.</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2"/>
          <w:szCs w:val="12"/>
          <w:u w:val="single" w:color="auto"/>
          <w:color w:val="0000EE"/>
        </w:rPr>
        <w:t>Presentation materials dated April 30, 2026.</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99.3</w:t>
      </w:r>
      <w:r>
        <w:rPr>
          <w:sz w:val="20"/>
          <w:szCs w:val="20"/>
          <w:color w:val="auto"/>
        </w:rPr>
        <w:tab/>
      </w:r>
      <w:r>
        <w:rPr>
          <w:rFonts w:ascii="Times New Roman" w:cs="Times New Roman" w:eastAsia="Times New Roman" w:hAnsi="Times New Roman"/>
          <w:sz w:val="12"/>
          <w:szCs w:val="12"/>
          <w:u w:val="single" w:color="auto"/>
          <w:color w:val="0000EE"/>
        </w:rPr>
        <w:t>Corporate presentation dated April 30, 2026.</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3"/>
          <w:szCs w:val="13"/>
          <w:b w:val="1"/>
          <w:bCs w:val="1"/>
          <w:color w:val="auto"/>
        </w:rPr>
        <w:t>Indivior Pharmaceuticals, Inc.</w:t>
      </w:r>
    </w:p>
    <w:p>
      <w:pPr>
        <w:spacing w:after="0" w:line="156" w:lineRule="exact"/>
        <w:rPr>
          <w:sz w:val="20"/>
          <w:szCs w:val="20"/>
          <w:color w:val="auto"/>
        </w:rPr>
      </w:pPr>
    </w:p>
    <w:p>
      <w:pPr>
        <w:ind w:left="640"/>
        <w:spacing w:after="0"/>
        <w:tabs>
          <w:tab w:leader="none" w:pos="4320" w:val="left"/>
          <w:tab w:leader="none" w:pos="4720" w:val="left"/>
        </w:tabs>
        <w:rPr>
          <w:sz w:val="20"/>
          <w:szCs w:val="20"/>
          <w:color w:val="auto"/>
        </w:rPr>
      </w:pPr>
      <w:r>
        <w:rPr>
          <w:rFonts w:ascii="Times New Roman" w:cs="Times New Roman" w:eastAsia="Times New Roman" w:hAnsi="Times New Roman"/>
          <w:sz w:val="13"/>
          <w:szCs w:val="13"/>
          <w:color w:val="auto"/>
        </w:rPr>
        <w:t>Date: April 30,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Ryan Preblick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3010535</wp:posOffset>
            </wp:positionH>
            <wp:positionV relativeFrom="paragraph">
              <wp:posOffset>9525</wp:posOffset>
            </wp:positionV>
            <wp:extent cx="230505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05050" cy="5715"/>
                    </a:xfrm>
                    <a:prstGeom prst="rect">
                      <a:avLst/>
                    </a:prstGeom>
                    <a:noFill/>
                  </pic:spPr>
                </pic:pic>
              </a:graphicData>
            </a:graphic>
          </wp:anchor>
        </w:drawing>
      </w:r>
    </w:p>
    <w:p>
      <w:pPr>
        <w:spacing w:after="0" w:line="1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3"/>
          <w:szCs w:val="13"/>
          <w:color w:val="auto"/>
        </w:rPr>
        <w:t>Name: Ryan Preblick</w:t>
      </w:r>
    </w:p>
    <w:p>
      <w:pPr>
        <w:spacing w:after="0" w:line="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3"/>
          <w:szCs w:val="13"/>
          <w:color w:val="auto"/>
        </w:rPr>
        <w:t>Title: Chief Financial Officer</w:t>
      </w:r>
    </w:p>
    <w:p>
      <w:pPr>
        <w:sectPr>
          <w:pgSz w:w="11900" w:h="16838" w:orient="portrait"/>
          <w:cols w:equalWidth="0" w:num="1">
            <w:col w:w="9019"/>
          </w:cols>
          <w:pgMar w:left="1440" w:top="248"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119380</wp:posOffset>
            </wp:positionV>
            <wp:extent cx="1143635" cy="325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3635" cy="32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Indivior Reports First Quarter 2026 Financial Results and Raises Full-Year 2026 Guidance</w:t>
      </w:r>
    </w:p>
    <w:p>
      <w:pPr>
        <w:spacing w:after="0" w:line="78" w:lineRule="exact"/>
        <w:rPr>
          <w:sz w:val="20"/>
          <w:szCs w:val="20"/>
          <w:color w:val="auto"/>
        </w:rPr>
      </w:pPr>
    </w:p>
    <w:p>
      <w:pPr>
        <w:ind w:left="3140" w:hanging="73"/>
        <w:spacing w:after="0"/>
        <w:tabs>
          <w:tab w:leader="none" w:pos="3140" w:val="left"/>
        </w:tabs>
        <w:numPr>
          <w:ilvl w:val="4"/>
          <w:numId w:val="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Q1’26 Total Net Revenue of $317 Million, Up 19% YoY</w:t>
      </w:r>
    </w:p>
    <w:p>
      <w:pPr>
        <w:spacing w:after="0" w:line="77" w:lineRule="exact"/>
        <w:rPr>
          <w:rFonts w:ascii="Times New Roman" w:cs="Times New Roman" w:eastAsia="Times New Roman" w:hAnsi="Times New Roman"/>
          <w:sz w:val="13"/>
          <w:szCs w:val="13"/>
          <w:i w:val="1"/>
          <w:iCs w:val="1"/>
          <w:color w:val="auto"/>
        </w:rPr>
      </w:pPr>
    </w:p>
    <w:p>
      <w:pPr>
        <w:ind w:left="2740" w:hanging="86"/>
        <w:spacing w:after="0"/>
        <w:tabs>
          <w:tab w:leader="none" w:pos="2740" w:val="left"/>
        </w:tabs>
        <w:numPr>
          <w:ilvl w:val="3"/>
          <w:numId w:val="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Q1’26 Total SUBLOCADE</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3"/>
          <w:szCs w:val="13"/>
          <w:i w:val="1"/>
          <w:iCs w:val="1"/>
          <w:color w:val="auto"/>
        </w:rPr>
        <w:t xml:space="preserve"> Net Revenue of $232 Million, Up 32% YoY</w:t>
      </w:r>
    </w:p>
    <w:p>
      <w:pPr>
        <w:spacing w:after="0" w:line="36" w:lineRule="exact"/>
        <w:rPr>
          <w:rFonts w:ascii="Times New Roman" w:cs="Times New Roman" w:eastAsia="Times New Roman" w:hAnsi="Times New Roman"/>
          <w:sz w:val="13"/>
          <w:szCs w:val="13"/>
          <w:i w:val="1"/>
          <w:iCs w:val="1"/>
          <w:color w:val="auto"/>
        </w:rPr>
      </w:pPr>
    </w:p>
    <w:p>
      <w:pPr>
        <w:ind w:left="2220" w:hanging="80"/>
        <w:spacing w:after="0"/>
        <w:tabs>
          <w:tab w:leader="none" w:pos="2220" w:val="left"/>
        </w:tabs>
        <w:numPr>
          <w:ilvl w:val="0"/>
          <w:numId w:val="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Q1’26 GAAP Net Income of $89 Million and Q1’26 Non-GAAP Net Income of $123 Million</w:t>
      </w:r>
    </w:p>
    <w:p>
      <w:pPr>
        <w:spacing w:after="0" w:line="61" w:lineRule="exact"/>
        <w:rPr>
          <w:rFonts w:ascii="Times New Roman" w:cs="Times New Roman" w:eastAsia="Times New Roman" w:hAnsi="Times New Roman"/>
          <w:sz w:val="13"/>
          <w:szCs w:val="13"/>
          <w:i w:val="1"/>
          <w:iCs w:val="1"/>
          <w:color w:val="auto"/>
        </w:rPr>
      </w:pPr>
    </w:p>
    <w:p>
      <w:pPr>
        <w:ind w:left="2600" w:hanging="79"/>
        <w:spacing w:after="0"/>
        <w:tabs>
          <w:tab w:leader="none" w:pos="2600" w:val="left"/>
        </w:tabs>
        <w:numPr>
          <w:ilvl w:val="1"/>
          <w:numId w:val="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Record Quarterly Adjusted EBITDA of $164 Million in Q1’26, Up 112% YoY</w:t>
      </w:r>
    </w:p>
    <w:p>
      <w:pPr>
        <w:spacing w:after="0" w:line="77" w:lineRule="exact"/>
        <w:rPr>
          <w:rFonts w:ascii="Times New Roman" w:cs="Times New Roman" w:eastAsia="Times New Roman" w:hAnsi="Times New Roman"/>
          <w:sz w:val="13"/>
          <w:szCs w:val="13"/>
          <w:i w:val="1"/>
          <w:iCs w:val="1"/>
          <w:color w:val="auto"/>
        </w:rPr>
      </w:pPr>
    </w:p>
    <w:p>
      <w:pPr>
        <w:ind w:left="2620" w:hanging="71"/>
        <w:spacing w:after="0"/>
        <w:tabs>
          <w:tab w:leader="none" w:pos="2620" w:val="left"/>
        </w:tabs>
        <w:numPr>
          <w:ilvl w:val="2"/>
          <w:numId w:val="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Repurchased Approximately Four Million Shares in Q1’26 for $125 Million</w:t>
      </w:r>
    </w:p>
    <w:p>
      <w:pPr>
        <w:spacing w:after="0" w:line="77" w:lineRule="exact"/>
        <w:rPr>
          <w:rFonts w:ascii="Times New Roman" w:cs="Times New Roman" w:eastAsia="Times New Roman" w:hAnsi="Times New Roman"/>
          <w:sz w:val="13"/>
          <w:szCs w:val="13"/>
          <w:i w:val="1"/>
          <w:iCs w:val="1"/>
          <w:color w:val="auto"/>
        </w:rPr>
      </w:pPr>
    </w:p>
    <w:p>
      <w:pPr>
        <w:ind w:left="3500" w:hanging="85"/>
        <w:spacing w:after="0"/>
        <w:tabs>
          <w:tab w:leader="none" w:pos="3500" w:val="left"/>
        </w:tabs>
        <w:numPr>
          <w:ilvl w:val="5"/>
          <w:numId w:val="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Conference Call at 8:00 A.M. EDT Today</w:t>
      </w:r>
    </w:p>
    <w:p>
      <w:pPr>
        <w:spacing w:after="0" w:line="154" w:lineRule="exact"/>
        <w:rPr>
          <w:sz w:val="20"/>
          <w:szCs w:val="20"/>
          <w:color w:val="auto"/>
        </w:rPr>
      </w:pPr>
    </w:p>
    <w:p>
      <w:pPr>
        <w:ind w:left="640" w:right="115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Richmond, VA, April 30, 2026 </w:t>
      </w:r>
      <w:r>
        <w:rPr>
          <w:rFonts w:ascii="Times New Roman" w:cs="Times New Roman" w:eastAsia="Times New Roman" w:hAnsi="Times New Roman"/>
          <w:sz w:val="13"/>
          <w:szCs w:val="13"/>
          <w:color w:val="auto"/>
        </w:rPr>
        <w:t>– Indivior Pharmaceuticals, Inc. (Nasdaq: INDV) today reported its financial results for the first quarter ended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March 31, 2026, and raised its full-year 2026 financial guidance.</w:t>
      </w:r>
    </w:p>
    <w:p>
      <w:pPr>
        <w:spacing w:after="0" w:line="121"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“We are encouraged by our first quarter results, which reflect the progress we are making against Phase II of the Indivior Action Agenda – Accelerate,” said Joe Ciaffoni, Chief Executive Officer. “Year-over-year we accelerated SUBLOCADE net revenue and dispense unit growth and grew adjusted EBITDA and cash at an even faster rate while executing on our capital deployment strategy. We remain focused on accelerating SUBLOCADE dispense unit growth, growing our bottom line at a significantly faster rate, and strategically deploying capital as we earn our way to Phase III of the Indivior Action Agenda – Breakout — which we are on track to enter in the second half of 2026.”</w:t>
      </w:r>
    </w:p>
    <w:p>
      <w:pPr>
        <w:spacing w:after="0" w:line="134" w:lineRule="exact"/>
        <w:rPr>
          <w:sz w:val="20"/>
          <w:szCs w:val="20"/>
          <w:color w:val="auto"/>
        </w:rPr>
      </w:pPr>
    </w:p>
    <w:p>
      <w:pPr>
        <w:ind w:left="640" w:right="779"/>
        <w:spacing w:after="0" w:line="249" w:lineRule="auto"/>
        <w:rPr>
          <w:sz w:val="20"/>
          <w:szCs w:val="20"/>
          <w:color w:val="auto"/>
        </w:rPr>
      </w:pPr>
      <w:r>
        <w:rPr>
          <w:rFonts w:ascii="Times New Roman" w:cs="Times New Roman" w:eastAsia="Times New Roman" w:hAnsi="Times New Roman"/>
          <w:sz w:val="13"/>
          <w:szCs w:val="13"/>
          <w:color w:val="auto"/>
        </w:rPr>
        <w:t>“Strong SUBLOCADE performance in the first quarter led us to raise our 2026 financial guidance,” said Ryan Preblick, Chief Financial Officer. “We now expect 2026 total SUBLOCADE net revenue growth of 13% year-over-year and adjusted EBITDA growth of 50% year-over-year at the midpoint of our guidance ranges. We strengthened our financial position with the completion of a $500 million convertible senior notes offering and returned capital to our shareholders through the opportunistic repurchase of $125 million in shares during the quarter. We are committed to creating long-term shareholder value as we advance the Indivior Action Agenda.”</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Q1 2026 Business Highlights</w:t>
      </w:r>
      <w:r>
        <w:rPr>
          <w:rFonts w:ascii="Times New Roman" w:cs="Times New Roman" w:eastAsia="Times New Roman" w:hAnsi="Times New Roman"/>
          <w:sz w:val="13"/>
          <w:szCs w:val="13"/>
          <w:b w:val="1"/>
          <w:bCs w:val="1"/>
          <w:color w:val="auto"/>
        </w:rPr>
        <w:t>:</w:t>
      </w:r>
    </w:p>
    <w:p>
      <w:pPr>
        <w:spacing w:after="0" w:line="89" w:lineRule="exact"/>
        <w:rPr>
          <w:sz w:val="20"/>
          <w:szCs w:val="20"/>
          <w:color w:val="auto"/>
        </w:rPr>
      </w:pPr>
    </w:p>
    <w:p>
      <w:pPr>
        <w:ind w:left="940" w:hanging="227"/>
        <w:spacing w:after="0"/>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March 31, 2026, over 500,000 patients in the U.S. have been prescribed SUBLOCADE since launch.</w:t>
      </w:r>
    </w:p>
    <w:p>
      <w:pPr>
        <w:spacing w:after="0" w:line="87" w:lineRule="exact"/>
        <w:rPr>
          <w:rFonts w:ascii="Times New Roman" w:cs="Times New Roman" w:eastAsia="Times New Roman" w:hAnsi="Times New Roman"/>
          <w:sz w:val="13"/>
          <w:szCs w:val="13"/>
          <w:color w:val="auto"/>
        </w:rPr>
      </w:pPr>
    </w:p>
    <w:p>
      <w:pPr>
        <w:ind w:left="940" w:right="859" w:hanging="227"/>
        <w:spacing w:after="0" w:line="255" w:lineRule="auto"/>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Grew total SUBLOCADE net revenue 32% year-over-year to $232 million. U.S. SUBLOCADE net revenue increased 33% year-over-year to $218 million versus the prior year, driven by 20% dispense unit volume growth. New patient starts of approximately 31,800 were a record. Net revenue also benefited from more favorable price/mix and gross-to-net adjustments.</w:t>
      </w:r>
    </w:p>
    <w:p>
      <w:pPr>
        <w:spacing w:after="0" w:line="63" w:lineRule="exact"/>
        <w:rPr>
          <w:rFonts w:ascii="Times New Roman" w:cs="Times New Roman" w:eastAsia="Times New Roman" w:hAnsi="Times New Roman"/>
          <w:sz w:val="13"/>
          <w:szCs w:val="13"/>
          <w:color w:val="auto"/>
        </w:rPr>
      </w:pPr>
    </w:p>
    <w:p>
      <w:pPr>
        <w:ind w:left="940" w:right="839" w:hanging="227"/>
        <w:spacing w:after="0" w:line="267" w:lineRule="auto"/>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February 2026, announced a share repurchase program of up to $400 million with a term of up to 18 months. To date, 3,974,153 shares were repurchased at an average price of $31.45 for a total of $125 million. Indivior has $275 million remaining under the program.</w:t>
      </w:r>
    </w:p>
    <w:p>
      <w:pPr>
        <w:spacing w:after="0" w:line="55" w:lineRule="exact"/>
        <w:rPr>
          <w:rFonts w:ascii="Times New Roman" w:cs="Times New Roman" w:eastAsia="Times New Roman" w:hAnsi="Times New Roman"/>
          <w:sz w:val="13"/>
          <w:szCs w:val="13"/>
          <w:color w:val="auto"/>
        </w:rPr>
      </w:pPr>
    </w:p>
    <w:p>
      <w:pPr>
        <w:ind w:left="940" w:right="759" w:hanging="227"/>
        <w:spacing w:after="0" w:line="267" w:lineRule="auto"/>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Successfully completed a $500 million offering of 0.625% convertible senior notes due in 2031. The majority of the proceeds were used to repay in full the $333 million balance of Indivior’s previous term loan.</w:t>
      </w:r>
    </w:p>
    <w:p>
      <w:pPr>
        <w:spacing w:after="0" w:line="55" w:lineRule="exact"/>
        <w:rPr>
          <w:rFonts w:ascii="Times New Roman" w:cs="Times New Roman" w:eastAsia="Times New Roman" w:hAnsi="Times New Roman"/>
          <w:sz w:val="13"/>
          <w:szCs w:val="13"/>
          <w:color w:val="auto"/>
        </w:rPr>
      </w:pPr>
    </w:p>
    <w:p>
      <w:pPr>
        <w:ind w:left="940" w:right="839" w:hanging="227"/>
        <w:spacing w:after="0" w:line="279" w:lineRule="auto"/>
        <w:tabs>
          <w:tab w:leader="none" w:pos="9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Announced three publications highlighting the importance of SUBLOCADE as a treatment option for opioid use disorder across various healthcare settings, including: </w:t>
      </w:r>
      <w:r>
        <w:rPr>
          <w:rFonts w:ascii="Times New Roman" w:cs="Times New Roman" w:eastAsia="Times New Roman" w:hAnsi="Times New Roman"/>
          <w:sz w:val="12"/>
          <w:szCs w:val="12"/>
          <w:i w:val="1"/>
          <w:iCs w:val="1"/>
          <w:u w:val="single" w:color="auto"/>
          <w:color w:val="auto"/>
        </w:rPr>
        <w:t>New Study Shows Adherence to Monthly Injectable Buprenorphine Linked to Lower Healthcare Utilization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u w:val="single" w:color="auto"/>
          <w:color w:val="auto"/>
        </w:rPr>
        <w:t>Costs in Opioid Use Disorder, National Survey Finds Only 58% of U.S. Correctional Facilities Offer Medications for Opioid Use Disorder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i w:val="1"/>
          <w:iCs w:val="1"/>
          <w:u w:val="single" w:color="auto"/>
          <w:color w:val="auto"/>
        </w:rPr>
        <w:t>New Cost Impact Model Highlights Potential for Monthly Injectable Buprenorphine to Reduce Staffing Burdens in Correctional Facilities.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Pipeline Update</w:t>
      </w:r>
      <w:r>
        <w:rPr>
          <w:rFonts w:ascii="Times New Roman" w:cs="Times New Roman" w:eastAsia="Times New Roman" w:hAnsi="Times New Roman"/>
          <w:sz w:val="13"/>
          <w:szCs w:val="13"/>
          <w:b w:val="1"/>
          <w:bCs w:val="1"/>
          <w:color w:val="auto"/>
        </w:rPr>
        <w:t>:</w:t>
      </w:r>
    </w:p>
    <w:p>
      <w:pPr>
        <w:spacing w:after="0" w:line="89" w:lineRule="exact"/>
        <w:rPr>
          <w:sz w:val="20"/>
          <w:szCs w:val="20"/>
          <w:color w:val="auto"/>
        </w:rPr>
      </w:pPr>
    </w:p>
    <w:p>
      <w:pPr>
        <w:ind w:left="940" w:right="759" w:hanging="227"/>
        <w:spacing w:after="0" w:line="251" w:lineRule="auto"/>
        <w:tabs>
          <w:tab w:leader="none" w:pos="9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INDV-6001 (Buprenorphine Caproate): Indivior does not intend to pursue Phase 3 development of INDV-6001 and has amended its license agreement with Alar Pharmaceuticals. Pursuant to the amendment, Alar will regain development rights to the asset and will have commercialization rights outside the U.S. Indivior will maintain exclusive commercial rights in the U.S. should Alar receive FDA approval for a commercially viable product in the future.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125" w:right="1440" w:bottom="1440" w:gutter="0" w:footer="0" w:header="0"/>
        </w:sectPr>
      </w:pPr>
    </w:p>
    <w:bookmarkStart w:id="4" w:name="page5"/>
    <w:bookmarkEnd w:id="4"/>
    <w:p>
      <w:pPr>
        <w:ind w:left="940" w:right="779" w:hanging="227"/>
        <w:spacing w:after="0" w:line="249" w:lineRule="auto"/>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INDV-2000 (Rocavorexant): Announced today that following a thorough evaluation of the Phase 2 proof-of-concept study, Indivior will not be advancing INDV-2000 internally as a treatment for opioid use disorder. INDV-2000 did not meet the primary endpoint of “no treatment failure.” The Company will seek external business development opportunities for the asset as supportive findings included directional effects on abstinence-related measures, exploratory anxiety outcomes, fMRI evidence consistent with modulation of relapse-related neural circuitry, and a favorable safety and tolerability profile.</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Raising Full-Year 2026 Financial Guidance:</w:t>
      </w:r>
    </w:p>
    <w:p>
      <w:pPr>
        <w:spacing w:after="0" w:line="80"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Full-year financial guidance assumes no material change in exchange rates for key currencies compared with 2025 average rates, notably USD/GBP and USD/EUR.</w:t>
      </w:r>
    </w:p>
    <w:p>
      <w:pPr>
        <w:spacing w:after="0" w:line="137"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3400" w:type="dxa"/>
            <w:vAlign w:val="bottom"/>
          </w:tcPr>
          <w:p>
            <w:pPr>
              <w:spacing w:after="0"/>
              <w:rPr>
                <w:sz w:val="10"/>
                <w:szCs w:val="10"/>
                <w:color w:val="auto"/>
              </w:rPr>
            </w:pPr>
          </w:p>
        </w:tc>
        <w:tc>
          <w:tcPr>
            <w:tcW w:w="2460" w:type="dxa"/>
            <w:vAlign w:val="bottom"/>
            <w:gridSpan w:val="2"/>
          </w:tcPr>
          <w:p>
            <w:pPr>
              <w:jc w:val="center"/>
              <w:ind w:right="620"/>
              <w:spacing w:after="0"/>
              <w:rPr>
                <w:sz w:val="20"/>
                <w:szCs w:val="20"/>
                <w:color w:val="auto"/>
              </w:rPr>
            </w:pPr>
            <w:r>
              <w:rPr>
                <w:rFonts w:ascii="Times New Roman" w:cs="Times New Roman" w:eastAsia="Times New Roman" w:hAnsi="Times New Roman"/>
                <w:sz w:val="10"/>
                <w:szCs w:val="10"/>
                <w:b w:val="1"/>
                <w:bCs w:val="1"/>
                <w:color w:val="auto"/>
              </w:rPr>
              <w:t>Prior FY 2026 Guidance (2/26/2026)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Revised FY 2026 Guidance</w:t>
            </w:r>
          </w:p>
        </w:tc>
      </w:tr>
      <w:tr>
        <w:trPr>
          <w:trHeight w:val="141"/>
        </w:trPr>
        <w:tc>
          <w:tcPr>
            <w:tcW w:w="340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Net Revenue</w:t>
            </w:r>
          </w:p>
        </w:tc>
        <w:tc>
          <w:tcPr>
            <w:tcW w:w="1840" w:type="dxa"/>
            <w:vAlign w:val="bottom"/>
            <w:tcBorders>
              <w:top w:val="single" w:sz="8" w:color="auto"/>
            </w:tcBorders>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6"/>
              </w:rPr>
              <w:t>$1,125 million to $1,195 million</w:t>
            </w:r>
          </w:p>
        </w:tc>
        <w:tc>
          <w:tcPr>
            <w:tcW w:w="620" w:type="dxa"/>
            <w:vAlign w:val="bottom"/>
            <w:tcBorders>
              <w:top w:val="single" w:sz="8" w:color="CCEEFF"/>
            </w:tcBorders>
            <w:shd w:val="clear" w:color="auto" w:fill="CCEEFF"/>
          </w:tcPr>
          <w:p>
            <w:pPr>
              <w:spacing w:after="0"/>
              <w:rPr>
                <w:sz w:val="12"/>
                <w:szCs w:val="12"/>
                <w:color w:val="auto"/>
              </w:rPr>
            </w:pPr>
          </w:p>
        </w:tc>
        <w:tc>
          <w:tcPr>
            <w:tcW w:w="1880" w:type="dxa"/>
            <w:vAlign w:val="bottom"/>
            <w:tcBorders>
              <w:top w:val="single" w:sz="8" w:color="auto"/>
            </w:tcBorders>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6"/>
              </w:rPr>
              <w:t>$1,215 million to $1,285 million</w:t>
            </w:r>
          </w:p>
        </w:tc>
      </w:tr>
      <w:tr>
        <w:trPr>
          <w:trHeight w:val="152"/>
        </w:trPr>
        <w:tc>
          <w:tcPr>
            <w:tcW w:w="3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SUBLOCADE Net Revenue</w:t>
            </w:r>
          </w:p>
        </w:tc>
        <w:tc>
          <w:tcPr>
            <w:tcW w:w="246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color w:val="auto"/>
                <w:w w:val="97"/>
              </w:rPr>
              <w:t>$905 million to $945 million</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$950 million to $990 million</w:t>
            </w:r>
          </w:p>
        </w:tc>
      </w:tr>
      <w:tr>
        <w:trPr>
          <w:trHeight w:val="152"/>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Non-GAAP Operating Expenses*</w:t>
            </w:r>
          </w:p>
        </w:tc>
        <w:tc>
          <w:tcPr>
            <w:tcW w:w="246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3"/>
                <w:szCs w:val="13"/>
                <w:color w:val="auto"/>
                <w:w w:val="97"/>
              </w:rPr>
              <w:t>$430 million to $450 million</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$430 million to $450 million</w:t>
            </w:r>
          </w:p>
        </w:tc>
      </w:tr>
      <w:tr>
        <w:trPr>
          <w:trHeight w:val="167"/>
        </w:trPr>
        <w:tc>
          <w:tcPr>
            <w:tcW w:w="3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246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color w:val="auto"/>
                <w:w w:val="97"/>
              </w:rPr>
              <w:t>$535 million to $575 million</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$620 million to $660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56515</wp:posOffset>
            </wp:positionV>
            <wp:extent cx="54165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85" w:lineRule="exact"/>
        <w:rPr>
          <w:sz w:val="20"/>
          <w:szCs w:val="20"/>
          <w:color w:val="auto"/>
        </w:rPr>
      </w:pPr>
    </w:p>
    <w:p>
      <w:pPr>
        <w:ind w:left="940" w:right="979" w:hanging="303"/>
        <w:spacing w:after="0" w:line="251" w:lineRule="auto"/>
        <w:tabs>
          <w:tab w:leader="none" w:pos="9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not provided the forward-looking U.S. GAAP equivalents for certain forward-looking non-U.S. GAAP metrics as a result of the uncertainty and potential variability of reconciling items. Accordingly, the Company has relied upon the exception in item 10(e)(1)(i)(B) of Regulation S-K to exclude such reconciliations, as the reconciliations of these non-U.S. GAAP guidance metrics to their corresponding U.S. GAAP equivalents are not available without unreasonable effort.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Financial Results for Quarter Ended March 31, 2026</w:t>
      </w:r>
      <w:r>
        <w:rPr>
          <w:rFonts w:ascii="Times New Roman" w:cs="Times New Roman" w:eastAsia="Times New Roman" w:hAnsi="Times New Roman"/>
          <w:sz w:val="13"/>
          <w:szCs w:val="13"/>
          <w:b w:val="1"/>
          <w:bCs w:val="1"/>
          <w:color w:val="auto"/>
        </w:rPr>
        <w:t>:</w:t>
      </w:r>
    </w:p>
    <w:p>
      <w:pPr>
        <w:spacing w:after="0" w:line="89" w:lineRule="exact"/>
        <w:rPr>
          <w:sz w:val="20"/>
          <w:szCs w:val="20"/>
          <w:color w:val="auto"/>
        </w:rPr>
      </w:pPr>
    </w:p>
    <w:p>
      <w:pPr>
        <w:ind w:left="940" w:right="1299" w:hanging="227"/>
        <w:spacing w:after="0" w:line="267" w:lineRule="auto"/>
        <w:tabs>
          <w:tab w:leader="none" w:pos="9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net revenue was $317 million for the quarter ended March 31, 2026 (the 2026 quarter), compared to $266 million for the quarter ended March 31, 2025 (the 2025 quarter), representing a 19% increase year-over-year.</w:t>
      </w:r>
    </w:p>
    <w:p>
      <w:pPr>
        <w:spacing w:after="0" w:line="55" w:lineRule="exact"/>
        <w:rPr>
          <w:rFonts w:ascii="Times New Roman" w:cs="Times New Roman" w:eastAsia="Times New Roman" w:hAnsi="Times New Roman"/>
          <w:sz w:val="13"/>
          <w:szCs w:val="13"/>
          <w:color w:val="auto"/>
        </w:rPr>
      </w:pPr>
    </w:p>
    <w:p>
      <w:pPr>
        <w:ind w:left="940" w:right="1039" w:hanging="227"/>
        <w:spacing w:after="0" w:line="267" w:lineRule="auto"/>
        <w:tabs>
          <w:tab w:leader="none" w:pos="9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SUBLOCADE net revenue was $232 million for the 2026 quarter, compared to $176 million for the 2025 quarter, representing a 32% increase year-over-year.</w:t>
      </w:r>
    </w:p>
    <w:p>
      <w:pPr>
        <w:spacing w:after="0" w:line="55" w:lineRule="exact"/>
        <w:rPr>
          <w:rFonts w:ascii="Times New Roman" w:cs="Times New Roman" w:eastAsia="Times New Roman" w:hAnsi="Times New Roman"/>
          <w:sz w:val="13"/>
          <w:szCs w:val="13"/>
          <w:color w:val="auto"/>
        </w:rPr>
      </w:pPr>
    </w:p>
    <w:p>
      <w:pPr>
        <w:ind w:left="940" w:right="799" w:hanging="227"/>
        <w:spacing w:after="0" w:line="251" w:lineRule="auto"/>
        <w:tabs>
          <w:tab w:leader="none" w:pos="9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operating expenses were $139 million for the 2026 quarter, compared to $156 million for the 2025 quarter, representing a 10% decrease year-over-year. Non-GAAP operating expenses, which exclude stock-based compensation expense and other adjustments to reflect changes that occur in our business but do not represent ongoing operations, were $116 million for the 2026 quarter, compared to $147 million for the 2025 quarter, representing a 21% decrease year-over-year.</w:t>
      </w:r>
    </w:p>
    <w:p>
      <w:pPr>
        <w:spacing w:after="0" w:line="66"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net income for the 2026 quarter was $89 million ($0.69 diluted earnings per share), compared to GAAP net income for the 2025 quarter</w:t>
      </w:r>
    </w:p>
    <w:p>
      <w:pPr>
        <w:spacing w:after="0" w:line="26" w:lineRule="exact"/>
        <w:rPr>
          <w:rFonts w:ascii="Times New Roman" w:cs="Times New Roman" w:eastAsia="Times New Roman" w:hAnsi="Times New Roman"/>
          <w:sz w:val="12"/>
          <w:szCs w:val="12"/>
          <w:color w:val="auto"/>
        </w:rPr>
      </w:pPr>
    </w:p>
    <w:p>
      <w:pPr>
        <w:ind w:left="940" w:right="65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of $47 million ($0.38 diluted earnings per share). Non-GAAP net income for the 2026 quarter was $123 million ($0.96 diluted earnings per share), compared to non-GAAP net income for the 2025 quarter of $56 million ($0.45 diluted earnings per share).</w:t>
      </w:r>
    </w:p>
    <w:p>
      <w:pPr>
        <w:spacing w:after="0" w:line="69" w:lineRule="exact"/>
        <w:rPr>
          <w:rFonts w:ascii="Times New Roman" w:cs="Times New Roman" w:eastAsia="Times New Roman" w:hAnsi="Times New Roman"/>
          <w:sz w:val="12"/>
          <w:szCs w:val="12"/>
          <w:color w:val="auto"/>
        </w:rPr>
      </w:pPr>
    </w:p>
    <w:p>
      <w:pPr>
        <w:ind w:left="940" w:right="739" w:hanging="227"/>
        <w:spacing w:after="0" w:line="267" w:lineRule="auto"/>
        <w:tabs>
          <w:tab w:leader="none" w:pos="9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for the 2026 quarter was $164 million, compared to $78 million for the 2025 quarter, representing a 112% increase year-over-year.</w:t>
      </w:r>
    </w:p>
    <w:p>
      <w:pPr>
        <w:spacing w:after="0" w:line="55"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ended the 2026 quarter with cash and investments of $201 million.</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Conference Call and Webcast Details:</w:t>
      </w:r>
    </w:p>
    <w:p>
      <w:pPr>
        <w:spacing w:after="0" w:line="80"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3"/>
          <w:szCs w:val="13"/>
          <w:color w:val="auto"/>
        </w:rPr>
        <w:t xml:space="preserve">A live conference call and webcast presentation will be held on April 30, 2026, at 8:00 A.M. EDT. The details to access the conference call and webcast are below. Materials will be available on the Company’s website prior to the event at </w:t>
      </w:r>
      <w:r>
        <w:rPr>
          <w:rFonts w:ascii="Times New Roman" w:cs="Times New Roman" w:eastAsia="Times New Roman" w:hAnsi="Times New Roman"/>
          <w:sz w:val="13"/>
          <w:szCs w:val="13"/>
          <w:u w:val="single" w:color="auto"/>
          <w:color w:val="auto"/>
        </w:rPr>
        <w:t>www.indivior.com</w:t>
      </w:r>
      <w:r>
        <w:rPr>
          <w:rFonts w:ascii="Times New Roman" w:cs="Times New Roman" w:eastAsia="Times New Roman" w:hAnsi="Times New Roman"/>
          <w:sz w:val="13"/>
          <w:szCs w:val="13"/>
          <w:color w:val="auto"/>
        </w:rPr>
        <w:t>.</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The webcast link is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https://edge.media-server.com/mmc/p/3k7nbxjp</w:t>
      </w:r>
    </w:p>
    <w:p>
      <w:pPr>
        <w:spacing w:after="0" w:line="78" w:lineRule="exact"/>
        <w:rPr>
          <w:sz w:val="20"/>
          <w:szCs w:val="20"/>
          <w:color w:val="auto"/>
        </w:rPr>
      </w:pPr>
    </w:p>
    <w:p>
      <w:pPr>
        <w:ind w:left="640" w:right="799"/>
        <w:spacing w:after="0" w:line="267" w:lineRule="auto"/>
        <w:rPr>
          <w:sz w:val="20"/>
          <w:szCs w:val="20"/>
          <w:color w:val="auto"/>
        </w:rPr>
      </w:pPr>
      <w:r>
        <w:rPr>
          <w:rFonts w:ascii="Times New Roman" w:cs="Times New Roman" w:eastAsia="Times New Roman" w:hAnsi="Times New Roman"/>
          <w:sz w:val="13"/>
          <w:szCs w:val="13"/>
          <w:u w:val="single" w:color="auto"/>
          <w:color w:val="auto"/>
        </w:rPr>
        <w:t>Participants may access the presentation telephonically by registering with the following link (please cut and paste into your browser)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https://register-conf.media-server.com/register/BIea9b995134de41e68f49a057c2a6cb66</w:t>
      </w:r>
    </w:p>
    <w:p>
      <w:pPr>
        <w:spacing w:after="0" w:line="44" w:lineRule="exact"/>
        <w:rPr>
          <w:sz w:val="20"/>
          <w:szCs w:val="20"/>
          <w:color w:val="auto"/>
        </w:rPr>
      </w:pPr>
    </w:p>
    <w:p>
      <w:pPr>
        <w:ind w:left="640" w:right="69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Registrants will have an option to be called back directly immediately prior to the call or be provided a call-in # with a unique pin code following their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registration)</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Indivior</w:t>
      </w:r>
    </w:p>
    <w:p>
      <w:pPr>
        <w:spacing w:after="0" w:line="80" w:lineRule="exact"/>
        <w:rPr>
          <w:sz w:val="20"/>
          <w:szCs w:val="20"/>
          <w:color w:val="auto"/>
        </w:rPr>
      </w:pPr>
    </w:p>
    <w:p>
      <w:pPr>
        <w:ind w:left="640" w:right="759"/>
        <w:spacing w:after="0" w:line="272" w:lineRule="auto"/>
        <w:rPr>
          <w:sz w:val="20"/>
          <w:szCs w:val="20"/>
          <w:color w:val="auto"/>
        </w:rPr>
      </w:pPr>
      <w:r>
        <w:rPr>
          <w:rFonts w:ascii="Times New Roman" w:cs="Times New Roman" w:eastAsia="Times New Roman" w:hAnsi="Times New Roman"/>
          <w:sz w:val="12"/>
          <w:szCs w:val="12"/>
          <w:color w:val="auto"/>
        </w:rPr>
        <w:t>As the leader in long-acting injectable treatments for opioid use disorder (OUD), Indivior is singularly focused on delivering evidence-based treatment and advancing understanding of OUD as a chronic but treatable brain disease. For more than 25 years, we have revolutionized the science of addiction medicine — developing treatments that help people move toward long-term recovery with independence and dignity. Building on this heritage, we are ushering in a new era, renewing our commitment to individuals living with OUD and carrying forward what matters most: compassion, integrity, and science. Together – with science, people living with OUD, public health champions, and communities, we are powering recovery and renewing hope. Visit www.indivior.com to learn more. Connect with Indivior on LinkedIn by visiting www.linkedin.com/company/Indivior.</w:t>
      </w:r>
    </w:p>
    <w:p>
      <w:pPr>
        <w:spacing w:after="0" w:line="123"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3"/>
          <w:szCs w:val="13"/>
          <w:color w:val="auto"/>
        </w:rPr>
        <w:t>Columns and rows within financial tables may not foot due to rounding. Percentages and per share data in the financial tables have been calculated using actual, non-rounded figures.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Non-GAAP Financial Measures</w:t>
      </w:r>
      <w:r>
        <w:rPr>
          <w:rFonts w:ascii="Times New Roman" w:cs="Times New Roman" w:eastAsia="Times New Roman" w:hAnsi="Times New Roman"/>
          <w:sz w:val="13"/>
          <w:szCs w:val="13"/>
          <w:b w:val="1"/>
          <w:bCs w:val="1"/>
          <w:color w:val="auto"/>
        </w:rPr>
        <w:t>:</w:t>
      </w:r>
    </w:p>
    <w:p>
      <w:pPr>
        <w:spacing w:after="0" w:line="80" w:lineRule="exact"/>
        <w:rPr>
          <w:sz w:val="20"/>
          <w:szCs w:val="20"/>
          <w:color w:val="auto"/>
        </w:rPr>
      </w:pPr>
    </w:p>
    <w:p>
      <w:pPr>
        <w:ind w:left="640" w:right="919"/>
        <w:spacing w:after="0" w:line="251" w:lineRule="auto"/>
        <w:rPr>
          <w:sz w:val="20"/>
          <w:szCs w:val="20"/>
          <w:color w:val="auto"/>
        </w:rPr>
      </w:pPr>
      <w:r>
        <w:rPr>
          <w:rFonts w:ascii="Times New Roman" w:cs="Times New Roman" w:eastAsia="Times New Roman" w:hAnsi="Times New Roman"/>
          <w:sz w:val="13"/>
          <w:szCs w:val="13"/>
          <w:color w:val="auto"/>
        </w:rPr>
        <w:t>Non-GAAP financial measures adjust for non-recurring items and other items representing expenses or income that we believe do not reflect the Company’s ongoing operations or the adjustment of which may help with the comparison to prior periods. The Company believes its non-GAAP financial measures may be useful to investors to understand the Company’s performance. In addition, the Company uses “Adjusted EBITDA” in its annual incentive plan in which all executive officers participate.</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Important Cautionary Note Regarding Forward-Looking Statements</w:t>
      </w:r>
      <w:r>
        <w:rPr>
          <w:rFonts w:ascii="Times New Roman" w:cs="Times New Roman" w:eastAsia="Times New Roman" w:hAnsi="Times New Roman"/>
          <w:sz w:val="13"/>
          <w:szCs w:val="13"/>
          <w:b w:val="1"/>
          <w:bCs w:val="1"/>
          <w:color w:val="auto"/>
        </w:rPr>
        <w:t>:</w:t>
      </w:r>
    </w:p>
    <w:p>
      <w:pPr>
        <w:spacing w:after="0" w:line="80" w:lineRule="exact"/>
        <w:rPr>
          <w:sz w:val="20"/>
          <w:szCs w:val="20"/>
          <w:color w:val="auto"/>
        </w:rPr>
      </w:pPr>
    </w:p>
    <w:p>
      <w:pPr>
        <w:ind w:left="640" w:right="679"/>
        <w:spacing w:after="0" w:line="270" w:lineRule="auto"/>
        <w:rPr>
          <w:sz w:val="20"/>
          <w:szCs w:val="20"/>
          <w:color w:val="auto"/>
        </w:rPr>
      </w:pPr>
      <w:r>
        <w:rPr>
          <w:rFonts w:ascii="Times New Roman" w:cs="Times New Roman" w:eastAsia="Times New Roman" w:hAnsi="Times New Roman"/>
          <w:sz w:val="12"/>
          <w:szCs w:val="12"/>
          <w:color w:val="auto"/>
        </w:rPr>
        <w:t>This announcement contains certain statements that are forward-looking statements. All statements other than statements of historical fact are forward-looking statements. Forward-looking statements include, among other things, express and implied statements regarding: expected acceleration in SUBLOCADE net revenue and dispense unit growth; expected future investments and capital deployments; expected growth in adjusted EBITDA, cash flow, and our bottom line, and expected acceleration of such growth; expected creation of shareholder value; our 2026 financial guidance including with respect to net revenue, total SUBLOCADE net revenue, non-GAAP operating expenses, and Adjusted EBITDA; and other statements containing the words “believe,” “anticipate,” “plan,” “expect,” “intend,” “estimate,” “forecast,” “strategy,” “target,” “guidance,” “outlook,” “potential,” “project,” “priority,” “may,” “will,” “should,” “would,” “could,” “can,” the negatives thereof, and variations thereon and similar expressions. By their nature, forward-looking statements involve risks and uncertainties as they relate to events or circumstances that may or may not occur in the future.</w:t>
      </w:r>
    </w:p>
    <w:p>
      <w:pPr>
        <w:spacing w:after="0" w:line="123" w:lineRule="exact"/>
        <w:rPr>
          <w:sz w:val="20"/>
          <w:szCs w:val="20"/>
          <w:color w:val="auto"/>
        </w:rPr>
      </w:pPr>
    </w:p>
    <w:p>
      <w:pPr>
        <w:ind w:left="640" w:right="699"/>
        <w:spacing w:after="0" w:line="271" w:lineRule="auto"/>
        <w:rPr>
          <w:sz w:val="20"/>
          <w:szCs w:val="20"/>
          <w:color w:val="auto"/>
        </w:rPr>
      </w:pPr>
      <w:r>
        <w:rPr>
          <w:rFonts w:ascii="Times New Roman" w:cs="Times New Roman" w:eastAsia="Times New Roman" w:hAnsi="Times New Roman"/>
          <w:sz w:val="12"/>
          <w:szCs w:val="12"/>
          <w:color w:val="auto"/>
        </w:rPr>
        <w:t>Prospective investors are cautioned that any such forward-looking statements are not guarantees of future performance and only express management’s beliefs regarding future results or events which, by their nature, are inherently uncertain and outside of management’s control or ability to predict. Actual results may differ materially from those expressed or implied in these forward-looking statements due to a number of factors, including but not limited to: lower than expected future sales of our products; greater than expected impacts from competition; and unanticipated costs including the effects of potential tariffs and potential retaliatory tariffs. For additional information about some of the risks and important factors that could affect our future results and financial condition, see “Important Cautionary Note Regarding Forward-looking Statements” and “Risk Factors” in Indivior’s Annual Report on Form 10-K filed February 26, 2026 and our other filings with the U.S. Securities and Exchange Commission.</w:t>
      </w:r>
    </w:p>
    <w:p>
      <w:pPr>
        <w:spacing w:after="0" w:line="122" w:lineRule="exact"/>
        <w:rPr>
          <w:sz w:val="20"/>
          <w:szCs w:val="20"/>
          <w:color w:val="auto"/>
        </w:rPr>
      </w:pPr>
    </w:p>
    <w:p>
      <w:pPr>
        <w:ind w:left="640" w:right="699"/>
        <w:spacing w:after="0" w:line="286" w:lineRule="auto"/>
        <w:rPr>
          <w:sz w:val="20"/>
          <w:szCs w:val="20"/>
          <w:color w:val="auto"/>
        </w:rPr>
      </w:pPr>
      <w:r>
        <w:rPr>
          <w:rFonts w:ascii="Times New Roman" w:cs="Times New Roman" w:eastAsia="Times New Roman" w:hAnsi="Times New Roman"/>
          <w:sz w:val="12"/>
          <w:szCs w:val="12"/>
          <w:color w:val="auto"/>
        </w:rPr>
        <w:t>We have based the forward-looking statements in this report on our current expectations and beliefs concerning future events. Forward-looking statements contained in this report speak only as of the day they are made and, except as required by law, we undertake no obligation to update or revise any forward-looking statement, whether due to new information, or to reflect events or developments that occur after the date the statement was made.</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6" w:name="page7"/>
    <w:bookmarkEnd w:id="6"/>
    <w:tbl>
      <w:tblPr>
        <w:tblLayout w:type="fixed"/>
        <w:tblInd w:w="640" w:type="dxa"/>
        <w:tblCellMar>
          <w:top w:w="0" w:type="dxa"/>
          <w:left w:w="0" w:type="dxa"/>
          <w:bottom w:w="0" w:type="dxa"/>
          <w:right w:w="0" w:type="dxa"/>
        </w:tblCellMar>
      </w:tblPr>
      <w:tr>
        <w:trPr>
          <w:trHeight w:val="149"/>
        </w:trPr>
        <w:tc>
          <w:tcPr>
            <w:tcW w:w="1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For Further Information</w:t>
            </w:r>
          </w:p>
        </w:tc>
        <w:tc>
          <w:tcPr>
            <w:tcW w:w="1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318"/>
        </w:trPr>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Investors</w:t>
            </w:r>
          </w:p>
        </w:tc>
        <w:tc>
          <w:tcPr>
            <w:tcW w:w="400" w:type="dxa"/>
            <w:vAlign w:val="bottom"/>
          </w:tcPr>
          <w:p>
            <w:pPr>
              <w:spacing w:after="0"/>
              <w:rPr>
                <w:sz w:val="24"/>
                <w:szCs w:val="24"/>
                <w:color w:val="auto"/>
              </w:rPr>
            </w:pPr>
          </w:p>
        </w:tc>
        <w:tc>
          <w:tcPr>
            <w:tcW w:w="17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Jason Thompson</w:t>
            </w:r>
          </w:p>
        </w:tc>
        <w:tc>
          <w:tcPr>
            <w:tcW w:w="198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VP, Investor Relations</w:t>
            </w:r>
          </w:p>
        </w:tc>
        <w:tc>
          <w:tcPr>
            <w:tcW w:w="2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+1 804 402 7123</w:t>
            </w:r>
          </w:p>
        </w:tc>
      </w:tr>
      <w:tr>
        <w:trPr>
          <w:trHeight w:val="165"/>
        </w:trPr>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jason.thompson@indivior.com</w:t>
            </w:r>
          </w:p>
        </w:tc>
      </w:tr>
      <w:tr>
        <w:trPr>
          <w:trHeight w:val="224"/>
        </w:trPr>
        <w:tc>
          <w:tcPr>
            <w:tcW w:w="1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Media</w:t>
            </w:r>
          </w:p>
        </w:tc>
        <w:tc>
          <w:tcPr>
            <w:tcW w:w="17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Cassie France-Kelly</w:t>
            </w:r>
          </w:p>
        </w:tc>
        <w:tc>
          <w:tcPr>
            <w:tcW w:w="198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VP, Communications</w:t>
            </w:r>
          </w:p>
        </w:tc>
        <w:tc>
          <w:tcPr>
            <w:tcW w:w="2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+1 804 594 0836</w:t>
            </w:r>
          </w:p>
        </w:tc>
      </w:tr>
      <w:tr>
        <w:trPr>
          <w:trHeight w:val="165"/>
        </w:trPr>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4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5"/>
              </w:rPr>
              <w:t>Indiviormediacontacts@indivior.com</w:t>
            </w:r>
          </w:p>
        </w:tc>
      </w:tr>
      <w:tr>
        <w:trPr>
          <w:trHeight w:val="265"/>
        </w:trPr>
        <w:tc>
          <w:tcPr>
            <w:tcW w:w="1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980" w:type="dxa"/>
            <w:vAlign w:val="bottom"/>
          </w:tcPr>
          <w:p>
            <w:pPr>
              <w:jc w:val="right"/>
              <w:ind w:right="1517"/>
              <w:spacing w:after="0"/>
              <w:rPr>
                <w:sz w:val="20"/>
                <w:szCs w:val="20"/>
                <w:color w:val="auto"/>
              </w:rPr>
            </w:pPr>
            <w:r>
              <w:rPr>
                <w:rFonts w:ascii="Times New Roman" w:cs="Times New Roman" w:eastAsia="Times New Roman" w:hAnsi="Times New Roman"/>
                <w:sz w:val="13"/>
                <w:szCs w:val="13"/>
                <w:color w:val="auto"/>
              </w:rPr>
              <w:t>4</w:t>
            </w:r>
          </w:p>
        </w:tc>
        <w:tc>
          <w:tcPr>
            <w:tcW w:w="2240" w:type="dxa"/>
            <w:vAlign w:val="bottom"/>
          </w:tcPr>
          <w:p>
            <w:pPr>
              <w:spacing w:after="0"/>
              <w:rPr>
                <w:sz w:val="23"/>
                <w:szCs w:val="23"/>
                <w:color w:val="auto"/>
              </w:rPr>
            </w:pPr>
          </w:p>
        </w:tc>
      </w:tr>
    </w:tbl>
    <w:p>
      <w:pPr>
        <w:spacing w:after="0"/>
        <w:rPr>
          <w:sz w:val="20"/>
          <w:szCs w:val="20"/>
          <w:color w:val="auto"/>
        </w:rPr>
        <w:sectPr>
          <w:pgSz w:w="11900" w:h="16838" w:orient="portrait"/>
          <w:cols w:equalWidth="0" w:num="1">
            <w:col w:w="9019"/>
          </w:cols>
          <w:pgMar w:left="1440" w:top="217"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7" w:name="page8"/>
    <w:bookmarkEnd w:id="7"/>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Indivior Pharmaceuticals,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millions, except per share data and percentages)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28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5"/>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r>
      <w:tr>
        <w:trPr>
          <w:trHeight w:val="94"/>
        </w:trPr>
        <w:tc>
          <w:tcPr>
            <w:tcW w:w="2800" w:type="dxa"/>
            <w:vAlign w:val="bottom"/>
            <w:tcBorders>
              <w:bottom w:val="single" w:sz="8" w:color="CCEEFF"/>
            </w:tcBorders>
          </w:tcPr>
          <w:p>
            <w:pPr>
              <w:spacing w:after="0"/>
              <w:rPr>
                <w:sz w:val="8"/>
                <w:szCs w:val="8"/>
                <w:color w:val="auto"/>
              </w:rPr>
            </w:pPr>
          </w:p>
        </w:tc>
        <w:tc>
          <w:tcPr>
            <w:tcW w:w="320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8"/>
              <w:spacing w:after="0" w:line="94" w:lineRule="exact"/>
              <w:rPr>
                <w:sz w:val="20"/>
                <w:szCs w:val="20"/>
                <w:color w:val="auto"/>
              </w:rPr>
            </w:pPr>
            <w:r>
              <w:rPr>
                <w:rFonts w:ascii="Times New Roman" w:cs="Times New Roman" w:eastAsia="Times New Roman" w:hAnsi="Times New Roman"/>
                <w:sz w:val="10"/>
                <w:szCs w:val="10"/>
                <w:b w:val="1"/>
                <w:bCs w:val="1"/>
                <w:color w:val="auto"/>
              </w:rPr>
              <w:t>2026</w:t>
            </w:r>
          </w:p>
        </w:tc>
        <w:tc>
          <w:tcPr>
            <w:tcW w:w="480" w:type="dxa"/>
            <w:vAlign w:val="bottom"/>
            <w:tcBorders>
              <w:top w:val="single" w:sz="8" w:color="auto"/>
              <w:bottom w:val="single" w:sz="8" w:color="CCEEFF"/>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8"/>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8"/>
                <w:szCs w:val="8"/>
                <w:color w:val="auto"/>
              </w:rPr>
            </w:pPr>
          </w:p>
        </w:tc>
      </w:tr>
      <w:tr>
        <w:trPr>
          <w:trHeight w:val="141"/>
        </w:trPr>
        <w:tc>
          <w:tcPr>
            <w:tcW w:w="28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Net revenue</w:t>
            </w: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317</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266</w:t>
            </w:r>
          </w:p>
        </w:tc>
        <w:tc>
          <w:tcPr>
            <w:tcW w:w="80" w:type="dxa"/>
            <w:vAlign w:val="bottom"/>
            <w:shd w:val="clear" w:color="auto" w:fill="CCEEFF"/>
          </w:tcPr>
          <w:p>
            <w:pPr>
              <w:spacing w:after="0"/>
              <w:rPr>
                <w:sz w:val="12"/>
                <w:szCs w:val="12"/>
                <w:color w:val="auto"/>
              </w:rPr>
            </w:pPr>
          </w:p>
        </w:tc>
      </w:tr>
      <w:tr>
        <w:trPr>
          <w:trHeight w:val="152"/>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3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4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3"/>
                <w:szCs w:val="13"/>
                <w:color w:val="auto"/>
              </w:rPr>
            </w:pPr>
          </w:p>
        </w:tc>
      </w:tr>
      <w:tr>
        <w:trPr>
          <w:trHeight w:val="151"/>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3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277</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221</w:t>
            </w:r>
          </w:p>
        </w:tc>
      </w:tr>
      <w:tr>
        <w:trPr>
          <w:trHeight w:val="151"/>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3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4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tcPr>
          <w:p>
            <w:pPr>
              <w:spacing w:after="0"/>
              <w:rPr>
                <w:sz w:val="13"/>
                <w:szCs w:val="13"/>
                <w:color w:val="auto"/>
              </w:rPr>
            </w:pPr>
          </w:p>
        </w:tc>
      </w:tr>
      <w:tr>
        <w:trPr>
          <w:trHeight w:val="152"/>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3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w:t>
            </w:r>
          </w:p>
        </w:tc>
      </w:tr>
      <w:tr>
        <w:trPr>
          <w:trHeight w:val="151"/>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3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139</w:t>
            </w:r>
          </w:p>
        </w:tc>
        <w:tc>
          <w:tcPr>
            <w:tcW w:w="4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156</w:t>
            </w:r>
          </w:p>
        </w:tc>
        <w:tc>
          <w:tcPr>
            <w:tcW w:w="80" w:type="dxa"/>
            <w:vAlign w:val="bottom"/>
          </w:tcPr>
          <w:p>
            <w:pPr>
              <w:spacing w:after="0"/>
              <w:rPr>
                <w:sz w:val="13"/>
                <w:szCs w:val="13"/>
                <w:color w:val="auto"/>
              </w:rPr>
            </w:pPr>
          </w:p>
        </w:tc>
      </w:tr>
      <w:tr>
        <w:trPr>
          <w:trHeight w:val="151"/>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32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137</w:t>
            </w:r>
          </w:p>
        </w:tc>
        <w:tc>
          <w:tcPr>
            <w:tcW w:w="4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w:t>
            </w:r>
          </w:p>
        </w:tc>
        <w:tc>
          <w:tcPr>
            <w:tcW w:w="80" w:type="dxa"/>
            <w:vAlign w:val="bottom"/>
            <w:shd w:val="clear" w:color="auto" w:fill="CCEEFF"/>
          </w:tcPr>
          <w:p>
            <w:pPr>
              <w:spacing w:after="0"/>
              <w:rPr>
                <w:sz w:val="13"/>
                <w:szCs w:val="13"/>
                <w:color w:val="auto"/>
              </w:rPr>
            </w:pPr>
          </w:p>
        </w:tc>
      </w:tr>
      <w:tr>
        <w:trPr>
          <w:trHeight w:val="151"/>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w:t>
            </w:r>
          </w:p>
        </w:tc>
      </w:tr>
      <w:tr>
        <w:trPr>
          <w:trHeight w:val="152"/>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3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w:t>
            </w:r>
          </w:p>
        </w:tc>
      </w:tr>
      <w:tr>
        <w:trPr>
          <w:trHeight w:val="152"/>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3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4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3"/>
                <w:szCs w:val="13"/>
                <w:color w:val="auto"/>
              </w:rPr>
            </w:pPr>
          </w:p>
        </w:tc>
      </w:tr>
      <w:tr>
        <w:trPr>
          <w:trHeight w:val="151"/>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3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115</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59</w:t>
            </w:r>
          </w:p>
        </w:tc>
      </w:tr>
      <w:tr>
        <w:trPr>
          <w:trHeight w:val="151"/>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3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4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3"/>
                <w:szCs w:val="13"/>
                <w:color w:val="auto"/>
              </w:rPr>
            </w:pPr>
          </w:p>
        </w:tc>
      </w:tr>
      <w:tr>
        <w:trPr>
          <w:trHeight w:val="159"/>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47</w:t>
            </w:r>
          </w:p>
        </w:tc>
      </w:tr>
      <w:tr>
        <w:trPr>
          <w:trHeight w:val="237"/>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Earnings per share</w:t>
            </w:r>
          </w:p>
        </w:tc>
        <w:tc>
          <w:tcPr>
            <w:tcW w:w="3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52"/>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0.71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0.38</w:t>
            </w:r>
          </w:p>
        </w:tc>
      </w:tr>
      <w:tr>
        <w:trPr>
          <w:trHeight w:val="167"/>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Diluted</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0.69</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0.38</w:t>
            </w:r>
          </w:p>
        </w:tc>
      </w:tr>
      <w:tr>
        <w:trPr>
          <w:trHeight w:val="241"/>
        </w:trPr>
        <w:tc>
          <w:tcPr>
            <w:tcW w:w="2800" w:type="dxa"/>
            <w:vAlign w:val="bottom"/>
          </w:tcPr>
          <w:p>
            <w:pPr>
              <w:spacing w:after="0"/>
              <w:rPr>
                <w:sz w:val="20"/>
                <w:szCs w:val="20"/>
                <w:color w:val="auto"/>
              </w:rPr>
            </w:pPr>
          </w:p>
        </w:tc>
        <w:tc>
          <w:tcPr>
            <w:tcW w:w="3200" w:type="dxa"/>
            <w:vAlign w:val="bottom"/>
          </w:tcPr>
          <w:p>
            <w:pPr>
              <w:jc w:val="right"/>
              <w:ind w:right="2037"/>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9019"/>
          </w:cols>
          <w:pgMar w:left="1440" w:top="229"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Indivior Pharmaceuticals,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millions, except per share data and percentages)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37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March 31, 2026</w:t>
            </w:r>
          </w:p>
        </w:tc>
        <w:tc>
          <w:tcPr>
            <w:tcW w:w="9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 2025</w:t>
            </w:r>
          </w:p>
        </w:tc>
      </w:tr>
      <w:tr>
        <w:trPr>
          <w:trHeight w:val="132"/>
        </w:trPr>
        <w:tc>
          <w:tcPr>
            <w:tcW w:w="374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Assets</w:t>
            </w:r>
          </w:p>
        </w:tc>
        <w:tc>
          <w:tcPr>
            <w:tcW w:w="18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52"/>
        </w:trPr>
        <w:tc>
          <w:tcPr>
            <w:tcW w:w="3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12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175</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195</w:t>
            </w:r>
          </w:p>
        </w:tc>
      </w:tr>
      <w:tr>
        <w:trPr>
          <w:trHeight w:val="152"/>
        </w:trPr>
        <w:tc>
          <w:tcPr>
            <w:tcW w:w="374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9"/>
              </w:rPr>
              <w:t>Accounts receivable, net of allowances of $3 (2026) and $4 (2025)</w:t>
            </w:r>
          </w:p>
        </w:tc>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273</w:t>
            </w:r>
          </w:p>
        </w:tc>
        <w:tc>
          <w:tcPr>
            <w:tcW w:w="3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253</w:t>
            </w:r>
          </w:p>
        </w:tc>
      </w:tr>
      <w:tr>
        <w:trPr>
          <w:trHeight w:val="152"/>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Inventories</w:t>
            </w:r>
          </w:p>
        </w:tc>
        <w:tc>
          <w:tcPr>
            <w:tcW w:w="1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152</w:t>
            </w:r>
          </w:p>
        </w:tc>
        <w:tc>
          <w:tcPr>
            <w:tcW w:w="3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153</w:t>
            </w:r>
          </w:p>
        </w:tc>
      </w:tr>
      <w:tr>
        <w:trPr>
          <w:trHeight w:val="152"/>
        </w:trPr>
        <w:tc>
          <w:tcPr>
            <w:tcW w:w="37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Prepaid expenses</w:t>
            </w:r>
          </w:p>
        </w:tc>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15</w:t>
            </w:r>
          </w:p>
        </w:tc>
        <w:tc>
          <w:tcPr>
            <w:tcW w:w="3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34</w:t>
            </w:r>
          </w:p>
        </w:tc>
      </w:tr>
      <w:tr>
        <w:trPr>
          <w:trHeight w:val="152"/>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Current tax receivable</w:t>
            </w:r>
          </w:p>
        </w:tc>
        <w:tc>
          <w:tcPr>
            <w:tcW w:w="1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12</w:t>
            </w:r>
          </w:p>
        </w:tc>
        <w:tc>
          <w:tcPr>
            <w:tcW w:w="3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37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current assets</w:t>
            </w:r>
          </w:p>
        </w:tc>
        <w:tc>
          <w:tcPr>
            <w:tcW w:w="18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5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3"/>
                <w:szCs w:val="13"/>
                <w:color w:val="auto"/>
              </w:rPr>
            </w:pPr>
          </w:p>
        </w:tc>
      </w:tr>
      <w:tr>
        <w:trPr>
          <w:trHeight w:val="151"/>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667</w:t>
            </w:r>
          </w:p>
        </w:tc>
        <w:tc>
          <w:tcPr>
            <w:tcW w:w="3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652</w:t>
            </w:r>
          </w:p>
        </w:tc>
      </w:tr>
      <w:tr>
        <w:trPr>
          <w:trHeight w:val="151"/>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Long-term investments</w:t>
            </w:r>
          </w:p>
        </w:tc>
        <w:tc>
          <w:tcPr>
            <w:tcW w:w="18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5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3"/>
                <w:szCs w:val="13"/>
                <w:color w:val="auto"/>
              </w:rPr>
            </w:pPr>
          </w:p>
        </w:tc>
      </w:tr>
      <w:tr>
        <w:trPr>
          <w:trHeight w:val="15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157</w:t>
            </w:r>
          </w:p>
        </w:tc>
        <w:tc>
          <w:tcPr>
            <w:tcW w:w="3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144</w:t>
            </w:r>
          </w:p>
        </w:tc>
      </w:tr>
      <w:tr>
        <w:trPr>
          <w:trHeight w:val="152"/>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right of use assets, net</w:t>
            </w:r>
          </w:p>
        </w:tc>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22</w:t>
            </w:r>
          </w:p>
        </w:tc>
        <w:tc>
          <w:tcPr>
            <w:tcW w:w="3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26</w:t>
            </w:r>
          </w:p>
        </w:tc>
      </w:tr>
      <w:tr>
        <w:trPr>
          <w:trHeight w:val="15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 and other intangible assets, net</w:t>
            </w:r>
          </w:p>
        </w:tc>
        <w:tc>
          <w:tcPr>
            <w:tcW w:w="1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Deferred tax assets</w:t>
            </w:r>
          </w:p>
        </w:tc>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296</w:t>
            </w:r>
          </w:p>
        </w:tc>
        <w:tc>
          <w:tcPr>
            <w:tcW w:w="3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323</w:t>
            </w:r>
          </w:p>
        </w:tc>
      </w:tr>
      <w:tr>
        <w:trPr>
          <w:trHeight w:val="15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1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26</w:t>
            </w:r>
          </w:p>
        </w:tc>
        <w:tc>
          <w:tcPr>
            <w:tcW w:w="3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27</w:t>
            </w:r>
          </w:p>
        </w:tc>
      </w:tr>
      <w:tr>
        <w:trPr>
          <w:trHeight w:val="159"/>
        </w:trPr>
        <w:tc>
          <w:tcPr>
            <w:tcW w:w="3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8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1,197</w:t>
            </w:r>
          </w:p>
        </w:tc>
        <w:tc>
          <w:tcPr>
            <w:tcW w:w="54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1,201</w:t>
            </w:r>
          </w:p>
        </w:tc>
        <w:tc>
          <w:tcPr>
            <w:tcW w:w="80" w:type="dxa"/>
            <w:vAlign w:val="bottom"/>
          </w:tcPr>
          <w:p>
            <w:pPr>
              <w:spacing w:after="0"/>
              <w:rPr>
                <w:sz w:val="13"/>
                <w:szCs w:val="13"/>
                <w:color w:val="auto"/>
              </w:rPr>
            </w:pPr>
          </w:p>
        </w:tc>
      </w:tr>
      <w:tr>
        <w:trPr>
          <w:trHeight w:val="161"/>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and stockholders’ deficit</w:t>
            </w:r>
          </w:p>
        </w:tc>
        <w:tc>
          <w:tcPr>
            <w:tcW w:w="1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2"/>
        </w:trPr>
        <w:tc>
          <w:tcPr>
            <w:tcW w:w="3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rebates and product returns</w:t>
            </w:r>
          </w:p>
        </w:tc>
        <w:tc>
          <w:tcPr>
            <w:tcW w:w="212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551</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582</w:t>
            </w:r>
          </w:p>
        </w:tc>
      </w:tr>
      <w:tr>
        <w:trPr>
          <w:trHeight w:val="152"/>
        </w:trPr>
        <w:tc>
          <w:tcPr>
            <w:tcW w:w="37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178</w:t>
            </w:r>
          </w:p>
        </w:tc>
        <w:tc>
          <w:tcPr>
            <w:tcW w:w="3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250</w:t>
            </w:r>
          </w:p>
        </w:tc>
      </w:tr>
      <w:tr>
        <w:trPr>
          <w:trHeight w:val="152"/>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litigation settlement expenses, current</w:t>
            </w:r>
          </w:p>
        </w:tc>
        <w:tc>
          <w:tcPr>
            <w:tcW w:w="1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14</w:t>
            </w:r>
          </w:p>
        </w:tc>
        <w:tc>
          <w:tcPr>
            <w:tcW w:w="3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42</w:t>
            </w:r>
          </w:p>
        </w:tc>
      </w:tr>
      <w:tr>
        <w:trPr>
          <w:trHeight w:val="152"/>
        </w:trPr>
        <w:tc>
          <w:tcPr>
            <w:tcW w:w="37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Operating lease liabilities, current</w:t>
            </w:r>
          </w:p>
        </w:tc>
        <w:tc>
          <w:tcPr>
            <w:tcW w:w="1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9</w:t>
            </w:r>
          </w:p>
        </w:tc>
        <w:tc>
          <w:tcPr>
            <w:tcW w:w="3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r>
      <w:tr>
        <w:trPr>
          <w:trHeight w:val="152"/>
        </w:trPr>
        <w:tc>
          <w:tcPr>
            <w:tcW w:w="37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taxes payable</w:t>
            </w:r>
          </w:p>
        </w:tc>
        <w:tc>
          <w:tcPr>
            <w:tcW w:w="18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5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r>
      <w:tr>
        <w:trPr>
          <w:trHeight w:val="151"/>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779</w:t>
            </w:r>
          </w:p>
        </w:tc>
        <w:tc>
          <w:tcPr>
            <w:tcW w:w="3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914</w:t>
            </w:r>
          </w:p>
        </w:tc>
      </w:tr>
      <w:tr>
        <w:trPr>
          <w:trHeight w:val="151"/>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 less current portion</w:t>
            </w:r>
          </w:p>
        </w:tc>
        <w:tc>
          <w:tcPr>
            <w:tcW w:w="18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5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80" w:type="dxa"/>
            <w:vAlign w:val="bottom"/>
          </w:tcPr>
          <w:p>
            <w:pPr>
              <w:spacing w:after="0"/>
              <w:rPr>
                <w:sz w:val="13"/>
                <w:szCs w:val="13"/>
                <w:color w:val="auto"/>
              </w:rPr>
            </w:pPr>
          </w:p>
        </w:tc>
      </w:tr>
      <w:tr>
        <w:trPr>
          <w:trHeight w:val="15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litigation settlement expenses, noncurrent</w:t>
            </w:r>
          </w:p>
        </w:tc>
        <w:tc>
          <w:tcPr>
            <w:tcW w:w="1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41</w:t>
            </w:r>
          </w:p>
        </w:tc>
        <w:tc>
          <w:tcPr>
            <w:tcW w:w="3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14</w:t>
            </w:r>
          </w:p>
        </w:tc>
        <w:tc>
          <w:tcPr>
            <w:tcW w:w="3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w:t>
            </w:r>
          </w:p>
        </w:tc>
      </w:tr>
      <w:tr>
        <w:trPr>
          <w:trHeight w:val="15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21</w:t>
            </w:r>
          </w:p>
        </w:tc>
        <w:tc>
          <w:tcPr>
            <w:tcW w:w="3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21</w:t>
            </w:r>
          </w:p>
        </w:tc>
      </w:tr>
      <w:tr>
        <w:trPr>
          <w:trHeight w:val="151"/>
        </w:trPr>
        <w:tc>
          <w:tcPr>
            <w:tcW w:w="3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8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1,341</w:t>
            </w:r>
          </w:p>
        </w:tc>
        <w:tc>
          <w:tcPr>
            <w:tcW w:w="54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1,300</w:t>
            </w:r>
          </w:p>
        </w:tc>
        <w:tc>
          <w:tcPr>
            <w:tcW w:w="80" w:type="dxa"/>
            <w:vAlign w:val="bottom"/>
          </w:tcPr>
          <w:p>
            <w:pPr>
              <w:spacing w:after="0"/>
              <w:rPr>
                <w:sz w:val="13"/>
                <w:szCs w:val="13"/>
                <w:color w:val="auto"/>
              </w:rPr>
            </w:pPr>
          </w:p>
        </w:tc>
      </w:tr>
      <w:tr>
        <w:trPr>
          <w:trHeight w:val="151"/>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Stockholders’ deficit</w:t>
            </w:r>
          </w:p>
        </w:tc>
        <w:tc>
          <w:tcPr>
            <w:tcW w:w="1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39"/>
        </w:trPr>
        <w:tc>
          <w:tcPr>
            <w:tcW w:w="3740" w:type="dxa"/>
            <w:vAlign w:val="bottom"/>
          </w:tcPr>
          <w:p>
            <w:pPr>
              <w:ind w:left="260"/>
              <w:spacing w:after="0" w:line="139" w:lineRule="exact"/>
              <w:rPr>
                <w:sz w:val="20"/>
                <w:szCs w:val="20"/>
                <w:color w:val="auto"/>
              </w:rPr>
            </w:pPr>
            <w:r>
              <w:rPr>
                <w:rFonts w:ascii="Times New Roman" w:cs="Times New Roman" w:eastAsia="Times New Roman" w:hAnsi="Times New Roman"/>
                <w:sz w:val="13"/>
                <w:szCs w:val="13"/>
                <w:color w:val="auto"/>
              </w:rPr>
              <w:t>Common stock, par value $0.001 per share</w:t>
            </w: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4"/>
        </w:trPr>
        <w:tc>
          <w:tcPr>
            <w:tcW w:w="37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Issued shares: 121 (2026) and 125 (2025)</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62</w:t>
            </w:r>
          </w:p>
        </w:tc>
      </w:tr>
      <w:tr>
        <w:trPr>
          <w:trHeight w:val="152"/>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165</w:t>
            </w:r>
          </w:p>
        </w:tc>
        <w:tc>
          <w:tcPr>
            <w:tcW w:w="3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112</w:t>
            </w:r>
          </w:p>
        </w:tc>
      </w:tr>
      <w:tr>
        <w:trPr>
          <w:trHeight w:val="152"/>
        </w:trPr>
        <w:tc>
          <w:tcPr>
            <w:tcW w:w="37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(29)</w:t>
            </w:r>
          </w:p>
        </w:tc>
        <w:tc>
          <w:tcPr>
            <w:tcW w:w="30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w:t>
            </w:r>
          </w:p>
        </w:tc>
      </w:tr>
      <w:tr>
        <w:trPr>
          <w:trHeight w:val="152"/>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Accumulated deficit</w:t>
            </w:r>
          </w:p>
        </w:tc>
        <w:tc>
          <w:tcPr>
            <w:tcW w:w="1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(280)</w:t>
            </w:r>
          </w:p>
        </w:tc>
        <w:tc>
          <w:tcPr>
            <w:tcW w:w="3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(243)</w:t>
            </w:r>
          </w:p>
        </w:tc>
      </w:tr>
      <w:tr>
        <w:trPr>
          <w:trHeight w:val="151"/>
        </w:trPr>
        <w:tc>
          <w:tcPr>
            <w:tcW w:w="3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stockholders’ deficit</w:t>
            </w:r>
          </w:p>
        </w:tc>
        <w:tc>
          <w:tcPr>
            <w:tcW w:w="18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(144)</w:t>
            </w:r>
          </w:p>
        </w:tc>
        <w:tc>
          <w:tcPr>
            <w:tcW w:w="54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(98)</w:t>
            </w:r>
          </w:p>
        </w:tc>
        <w:tc>
          <w:tcPr>
            <w:tcW w:w="80" w:type="dxa"/>
            <w:vAlign w:val="bottom"/>
          </w:tcPr>
          <w:p>
            <w:pPr>
              <w:spacing w:after="0"/>
              <w:rPr>
                <w:sz w:val="13"/>
                <w:szCs w:val="13"/>
                <w:color w:val="auto"/>
              </w:rPr>
            </w:pPr>
          </w:p>
        </w:tc>
      </w:tr>
      <w:tr>
        <w:trPr>
          <w:trHeight w:val="15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stockholders’ deficit</w:t>
            </w:r>
          </w:p>
        </w:tc>
        <w:tc>
          <w:tcPr>
            <w:tcW w:w="212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1,197</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1,201</w:t>
            </w:r>
          </w:p>
        </w:tc>
      </w:tr>
      <w:tr>
        <w:trPr>
          <w:trHeight w:val="265"/>
        </w:trPr>
        <w:tc>
          <w:tcPr>
            <w:tcW w:w="3740" w:type="dxa"/>
            <w:vAlign w:val="bottom"/>
          </w:tcPr>
          <w:p>
            <w:pPr>
              <w:spacing w:after="0"/>
              <w:rPr>
                <w:sz w:val="23"/>
                <w:szCs w:val="23"/>
                <w:color w:val="auto"/>
              </w:rPr>
            </w:pPr>
          </w:p>
        </w:tc>
        <w:tc>
          <w:tcPr>
            <w:tcW w:w="1880" w:type="dxa"/>
            <w:vAlign w:val="bottom"/>
          </w:tcPr>
          <w:p>
            <w:pPr>
              <w:jc w:val="right"/>
              <w:ind w:right="1657"/>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r>
    </w:tbl>
    <w:p>
      <w:pPr>
        <w:sectPr>
          <w:pgSz w:w="11900" w:h="16838" w:orient="portrait"/>
          <w:cols w:equalWidth="0" w:num="1">
            <w:col w:w="9019"/>
          </w:cols>
          <w:pgMar w:left="1440" w:top="229"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Indivior Pharmaceuticals,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(Amounts in millions, except per share data and percentages)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37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6"/>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r>
      <w:tr>
        <w:trPr>
          <w:trHeight w:val="94"/>
        </w:trPr>
        <w:tc>
          <w:tcPr>
            <w:tcW w:w="3780" w:type="dxa"/>
            <w:vAlign w:val="bottom"/>
            <w:tcBorders>
              <w:bottom w:val="single" w:sz="8" w:color="CCEEFF"/>
            </w:tcBorders>
          </w:tcPr>
          <w:p>
            <w:pPr>
              <w:spacing w:after="0"/>
              <w:rPr>
                <w:sz w:val="8"/>
                <w:szCs w:val="8"/>
                <w:color w:val="auto"/>
              </w:rPr>
            </w:pPr>
          </w:p>
        </w:tc>
        <w:tc>
          <w:tcPr>
            <w:tcW w:w="2160" w:type="dxa"/>
            <w:vAlign w:val="bottom"/>
            <w:tcBorders>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58"/>
              <w:spacing w:after="0" w:line="94" w:lineRule="exact"/>
              <w:rPr>
                <w:sz w:val="20"/>
                <w:szCs w:val="20"/>
                <w:color w:val="auto"/>
              </w:rPr>
            </w:pPr>
            <w:r>
              <w:rPr>
                <w:rFonts w:ascii="Times New Roman" w:cs="Times New Roman" w:eastAsia="Times New Roman" w:hAnsi="Times New Roman"/>
                <w:sz w:val="10"/>
                <w:szCs w:val="10"/>
                <w:b w:val="1"/>
                <w:bCs w:val="1"/>
                <w:color w:val="auto"/>
              </w:rPr>
              <w:t>2026</w:t>
            </w:r>
          </w:p>
        </w:tc>
        <w:tc>
          <w:tcPr>
            <w:tcW w:w="300" w:type="dxa"/>
            <w:vAlign w:val="bottom"/>
            <w:tcBorders>
              <w:top w:val="single" w:sz="8" w:color="auto"/>
              <w:bottom w:val="single" w:sz="8" w:color="CCEEFF"/>
            </w:tcBorders>
          </w:tcPr>
          <w:p>
            <w:pPr>
              <w:spacing w:after="0"/>
              <w:rPr>
                <w:sz w:val="8"/>
                <w:szCs w:val="8"/>
                <w:color w:val="auto"/>
              </w:rPr>
            </w:pPr>
          </w:p>
        </w:tc>
        <w:tc>
          <w:tcPr>
            <w:tcW w:w="240" w:type="dxa"/>
            <w:vAlign w:val="bottom"/>
            <w:tcBorders>
              <w:top w:val="single" w:sz="8" w:color="auto"/>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117"/>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8"/>
                <w:szCs w:val="8"/>
                <w:color w:val="auto"/>
              </w:rPr>
            </w:pPr>
          </w:p>
        </w:tc>
      </w:tr>
      <w:tr>
        <w:trPr>
          <w:trHeight w:val="132"/>
        </w:trPr>
        <w:tc>
          <w:tcPr>
            <w:tcW w:w="37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3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2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89</w:t>
            </w:r>
          </w:p>
        </w:tc>
        <w:tc>
          <w:tcPr>
            <w:tcW w:w="300" w:type="dxa"/>
            <w:vAlign w:val="bottom"/>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47</w:t>
            </w:r>
          </w:p>
        </w:tc>
      </w:tr>
      <w:tr>
        <w:trPr>
          <w:trHeight w:val="152"/>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7"/>
              </w:rPr>
              <w:t>Adjustments to reconcile net income to net cash from operating activities:</w:t>
            </w:r>
          </w:p>
        </w:tc>
        <w:tc>
          <w:tcPr>
            <w:tcW w:w="2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3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Amortization of right-of-use assets</w:t>
            </w:r>
          </w:p>
        </w:tc>
        <w:tc>
          <w:tcPr>
            <w:tcW w:w="2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3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w:t>
            </w:r>
          </w:p>
        </w:tc>
      </w:tr>
      <w:tr>
        <w:trPr>
          <w:trHeight w:val="152"/>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Impairment of tangible and intangible assets</w:t>
            </w:r>
          </w:p>
        </w:tc>
        <w:tc>
          <w:tcPr>
            <w:tcW w:w="2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3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2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3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Impact from foreign exchange movements</w:t>
            </w: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adjustments, net</w:t>
            </w:r>
          </w:p>
        </w:tc>
        <w:tc>
          <w:tcPr>
            <w:tcW w:w="2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378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Change in operating assets and liabilities</w:t>
            </w: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(163)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18</w:t>
            </w:r>
          </w:p>
        </w:tc>
      </w:tr>
      <w:tr>
        <w:trPr>
          <w:trHeight w:val="20"/>
        </w:trPr>
        <w:tc>
          <w:tcPr>
            <w:tcW w:w="37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Net cash (used in) provided by operating activities</w:t>
            </w:r>
          </w:p>
        </w:tc>
        <w:tc>
          <w:tcPr>
            <w:tcW w:w="2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(9)</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75</w:t>
            </w:r>
          </w:p>
        </w:tc>
      </w:tr>
      <w:tr>
        <w:trPr>
          <w:trHeight w:val="152"/>
        </w:trPr>
        <w:tc>
          <w:tcPr>
            <w:tcW w:w="3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2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(20)</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r>
      <w:tr>
        <w:trPr>
          <w:trHeight w:val="152"/>
        </w:trPr>
        <w:tc>
          <w:tcPr>
            <w:tcW w:w="3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Purchases of investments in debt securities</w:t>
            </w: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r>
      <w:tr>
        <w:trPr>
          <w:trHeight w:val="152"/>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Sales and maturities of debt securities</w:t>
            </w:r>
          </w:p>
        </w:tc>
        <w:tc>
          <w:tcPr>
            <w:tcW w:w="2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3"/>
                <w:szCs w:val="13"/>
                <w:color w:val="auto"/>
              </w:rPr>
            </w:pPr>
          </w:p>
        </w:tc>
      </w:tr>
      <w:tr>
        <w:trPr>
          <w:trHeight w:val="151"/>
        </w:trPr>
        <w:tc>
          <w:tcPr>
            <w:tcW w:w="378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(5)</w:t>
            </w:r>
          </w:p>
        </w:tc>
      </w:tr>
      <w:tr>
        <w:trPr>
          <w:trHeight w:val="152"/>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3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the issuance of common stock</w:t>
            </w: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paid for repurchases of common stock</w:t>
            </w:r>
          </w:p>
        </w:tc>
        <w:tc>
          <w:tcPr>
            <w:tcW w:w="2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(126)</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w:t>
            </w:r>
          </w:p>
        </w:tc>
      </w:tr>
      <w:tr>
        <w:trPr>
          <w:trHeight w:val="152"/>
        </w:trPr>
        <w:tc>
          <w:tcPr>
            <w:tcW w:w="3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debt, net</w:t>
            </w: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489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Repayments of debt</w:t>
            </w:r>
          </w:p>
        </w:tc>
        <w:tc>
          <w:tcPr>
            <w:tcW w:w="2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(333)</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w:t>
            </w:r>
          </w:p>
        </w:tc>
      </w:tr>
      <w:tr>
        <w:trPr>
          <w:trHeight w:val="152"/>
        </w:trPr>
        <w:tc>
          <w:tcPr>
            <w:tcW w:w="3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Transaction costs related to debt refinancing</w:t>
            </w: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Settlement of equity awards</w:t>
            </w:r>
          </w:p>
        </w:tc>
        <w:tc>
          <w:tcPr>
            <w:tcW w:w="2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(21)</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3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w:t>
            </w:r>
          </w:p>
        </w:tc>
        <w:tc>
          <w:tcPr>
            <w:tcW w:w="2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3"/>
                <w:szCs w:val="13"/>
                <w:color w:val="auto"/>
              </w:rPr>
            </w:pPr>
          </w:p>
        </w:tc>
      </w:tr>
      <w:tr>
        <w:trPr>
          <w:trHeight w:val="151"/>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2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(17)</w:t>
            </w:r>
          </w:p>
        </w:tc>
      </w:tr>
      <w:tr>
        <w:trPr>
          <w:trHeight w:val="151"/>
        </w:trPr>
        <w:tc>
          <w:tcPr>
            <w:tcW w:w="3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(decrease) increase in cash and cash equivalents</w:t>
            </w:r>
          </w:p>
        </w:tc>
        <w:tc>
          <w:tcPr>
            <w:tcW w:w="2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w:t>
            </w:r>
          </w:p>
        </w:tc>
        <w:tc>
          <w:tcPr>
            <w:tcW w:w="80" w:type="dxa"/>
            <w:vAlign w:val="bottom"/>
          </w:tcPr>
          <w:p>
            <w:pPr>
              <w:spacing w:after="0"/>
              <w:rPr>
                <w:sz w:val="13"/>
                <w:szCs w:val="13"/>
                <w:color w:val="auto"/>
              </w:rPr>
            </w:pPr>
          </w:p>
        </w:tc>
      </w:tr>
      <w:tr>
        <w:trPr>
          <w:trHeight w:val="152"/>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Exchange differences</w:t>
            </w:r>
          </w:p>
        </w:tc>
        <w:tc>
          <w:tcPr>
            <w:tcW w:w="2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2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80" w:type="dxa"/>
            <w:vAlign w:val="bottom"/>
          </w:tcPr>
          <w:p>
            <w:pPr>
              <w:spacing w:after="0"/>
              <w:rPr>
                <w:sz w:val="13"/>
                <w:szCs w:val="13"/>
                <w:color w:val="auto"/>
              </w:rPr>
            </w:pPr>
          </w:p>
        </w:tc>
      </w:tr>
      <w:tr>
        <w:trPr>
          <w:trHeight w:val="15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period</w:t>
            </w:r>
          </w:p>
        </w:tc>
        <w:tc>
          <w:tcPr>
            <w:tcW w:w="2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175</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372</w:t>
            </w:r>
          </w:p>
        </w:tc>
      </w:tr>
      <w:tr>
        <w:trPr>
          <w:trHeight w:val="265"/>
        </w:trPr>
        <w:tc>
          <w:tcPr>
            <w:tcW w:w="3780" w:type="dxa"/>
            <w:vAlign w:val="bottom"/>
          </w:tcPr>
          <w:p>
            <w:pPr>
              <w:spacing w:after="0"/>
              <w:rPr>
                <w:sz w:val="23"/>
                <w:szCs w:val="23"/>
                <w:color w:val="auto"/>
              </w:rPr>
            </w:pPr>
          </w:p>
        </w:tc>
        <w:tc>
          <w:tcPr>
            <w:tcW w:w="2160" w:type="dxa"/>
            <w:vAlign w:val="bottom"/>
          </w:tcPr>
          <w:p>
            <w:pPr>
              <w:jc w:val="right"/>
              <w:ind w:right="1977"/>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r>
    </w:tbl>
    <w:p>
      <w:pPr>
        <w:sectPr>
          <w:pgSz w:w="11900" w:h="16838" w:orient="portrait"/>
          <w:cols w:equalWidth="0" w:num="1">
            <w:col w:w="9019"/>
          </w:cols>
          <w:pgMar w:left="1440" w:top="229"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Indivior Pharmaceuticals, Inc.</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(Amounts in millions, except per share data and percentages)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Selected revenue information</w:t>
      </w:r>
    </w:p>
    <w:p>
      <w:pPr>
        <w:spacing w:after="0" w:line="171" w:lineRule="exact"/>
        <w:rPr>
          <w:sz w:val="20"/>
          <w:szCs w:val="20"/>
          <w:color w:val="auto"/>
        </w:rPr>
      </w:pPr>
    </w:p>
    <w:tbl>
      <w:tblPr>
        <w:tblLayout w:type="fixed"/>
        <w:tblInd w:w="1560" w:type="dxa"/>
        <w:tblCellMar>
          <w:top w:w="0" w:type="dxa"/>
          <w:left w:w="0" w:type="dxa"/>
          <w:bottom w:w="0" w:type="dxa"/>
          <w:right w:w="0" w:type="dxa"/>
        </w:tblCellMar>
      </w:tblPr>
      <w:tr>
        <w:trPr>
          <w:trHeight w:val="121"/>
        </w:trPr>
        <w:tc>
          <w:tcPr>
            <w:tcW w:w="2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gridSpan w:val="5"/>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r>
      <w:tr>
        <w:trPr>
          <w:trHeight w:val="94"/>
        </w:trPr>
        <w:tc>
          <w:tcPr>
            <w:tcW w:w="2960" w:type="dxa"/>
            <w:vAlign w:val="bottom"/>
            <w:tcBorders>
              <w:bottom w:val="single" w:sz="8" w:color="CCEEFF"/>
            </w:tcBorders>
          </w:tcPr>
          <w:p>
            <w:pPr>
              <w:spacing w:after="0"/>
              <w:rPr>
                <w:sz w:val="8"/>
                <w:szCs w:val="8"/>
                <w:color w:val="auto"/>
              </w:rPr>
            </w:pPr>
          </w:p>
        </w:tc>
        <w:tc>
          <w:tcPr>
            <w:tcW w:w="1140" w:type="dxa"/>
            <w:vAlign w:val="bottom"/>
            <w:tcBorders>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20"/>
              <w:spacing w:after="0" w:line="94" w:lineRule="exact"/>
              <w:rPr>
                <w:sz w:val="20"/>
                <w:szCs w:val="20"/>
                <w:color w:val="auto"/>
              </w:rPr>
            </w:pPr>
            <w:r>
              <w:rPr>
                <w:rFonts w:ascii="Times New Roman" w:cs="Times New Roman" w:eastAsia="Times New Roman" w:hAnsi="Times New Roman"/>
                <w:sz w:val="10"/>
                <w:szCs w:val="10"/>
                <w:b w:val="1"/>
                <w:bCs w:val="1"/>
                <w:color w:val="auto"/>
              </w:rPr>
              <w:t>2026</w:t>
            </w:r>
          </w:p>
        </w:tc>
        <w:tc>
          <w:tcPr>
            <w:tcW w:w="580" w:type="dxa"/>
            <w:vAlign w:val="bottom"/>
            <w:tcBorders>
              <w:top w:val="single" w:sz="8" w:color="auto"/>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8"/>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40" w:type="dxa"/>
            <w:vAlign w:val="bottom"/>
            <w:tcBorders>
              <w:bottom w:val="single" w:sz="8" w:color="CCEEFF"/>
            </w:tcBorders>
          </w:tcPr>
          <w:p>
            <w:pPr>
              <w:spacing w:after="0"/>
              <w:rPr>
                <w:sz w:val="8"/>
                <w:szCs w:val="8"/>
                <w:color w:val="auto"/>
              </w:rPr>
            </w:pPr>
          </w:p>
        </w:tc>
      </w:tr>
      <w:tr>
        <w:trPr>
          <w:trHeight w:val="132"/>
        </w:trPr>
        <w:tc>
          <w:tcPr>
            <w:tcW w:w="29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US:</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2"/>
        </w:trPr>
        <w:tc>
          <w:tcPr>
            <w:tcW w:w="29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SUBLOCADE*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218</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163</w:t>
            </w:r>
          </w:p>
        </w:tc>
      </w:tr>
      <w:tr>
        <w:trPr>
          <w:trHeight w:val="152"/>
        </w:trPr>
        <w:tc>
          <w:tcPr>
            <w:tcW w:w="2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Sublingual &amp; other</w:t>
            </w: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54</w:t>
            </w:r>
          </w:p>
        </w:tc>
      </w:tr>
      <w:tr>
        <w:trPr>
          <w:trHeight w:val="152"/>
        </w:trPr>
        <w:tc>
          <w:tcPr>
            <w:tcW w:w="2960" w:type="dxa"/>
            <w:vAlign w:val="bottom"/>
          </w:tcPr>
          <w:p>
            <w:pPr>
              <w:ind w:left="260"/>
              <w:spacing w:after="0" w:line="152" w:lineRule="exact"/>
              <w:rPr>
                <w:sz w:val="20"/>
                <w:szCs w:val="20"/>
                <w:color w:val="auto"/>
              </w:rPr>
            </w:pPr>
            <w:r>
              <w:rPr>
                <w:rFonts w:ascii="Times New Roman" w:cs="Times New Roman" w:eastAsia="Times New Roman" w:hAnsi="Times New Roman"/>
                <w:sz w:val="12"/>
                <w:szCs w:val="12"/>
                <w:color w:val="auto"/>
              </w:rPr>
              <w:t>PERSERIS</w:t>
            </w:r>
            <w:r>
              <w:rPr>
                <w:rFonts w:ascii="Times New Roman" w:cs="Times New Roman" w:eastAsia="Times New Roman" w:hAnsi="Times New Roman"/>
                <w:sz w:val="17"/>
                <w:szCs w:val="17"/>
                <w:color w:val="auto"/>
                <w:vertAlign w:val="superscript"/>
              </w:rPr>
              <w:t>1</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w:t>
            </w:r>
          </w:p>
        </w:tc>
      </w:tr>
      <w:tr>
        <w:trPr>
          <w:trHeight w:val="20"/>
        </w:trPr>
        <w:tc>
          <w:tcPr>
            <w:tcW w:w="2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U.S.</w:t>
            </w: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272</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222</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Rest of World</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w:t>
            </w:r>
          </w:p>
        </w:tc>
      </w:tr>
      <w:tr>
        <w:trPr>
          <w:trHeight w:val="20"/>
        </w:trPr>
        <w:tc>
          <w:tcPr>
            <w:tcW w:w="2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revenue</w:t>
            </w: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317</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266</w:t>
            </w:r>
          </w:p>
        </w:tc>
      </w:tr>
      <w:tr>
        <w:trPr>
          <w:trHeight w:val="156"/>
        </w:trPr>
        <w:tc>
          <w:tcPr>
            <w:tcW w:w="29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SUBLOCADE net revenue</w:t>
            </w:r>
          </w:p>
        </w:tc>
        <w:tc>
          <w:tcPr>
            <w:tcW w:w="114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232</w:t>
            </w:r>
          </w:p>
        </w:tc>
        <w:tc>
          <w:tcPr>
            <w:tcW w:w="580" w:type="dxa"/>
            <w:vAlign w:val="bottom"/>
          </w:tcPr>
          <w:p>
            <w:pPr>
              <w:spacing w:after="0"/>
              <w:rPr>
                <w:sz w:val="13"/>
                <w:szCs w:val="13"/>
                <w:color w:val="auto"/>
              </w:rPr>
            </w:pPr>
          </w:p>
        </w:tc>
        <w:tc>
          <w:tcPr>
            <w:tcW w:w="1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176</w:t>
            </w:r>
          </w:p>
        </w:tc>
        <w:tc>
          <w:tcPr>
            <w:tcW w:w="40" w:type="dxa"/>
            <w:vAlign w:val="bottom"/>
          </w:tcPr>
          <w:p>
            <w:pPr>
              <w:spacing w:after="0"/>
              <w:rPr>
                <w:sz w:val="13"/>
                <w:szCs w:val="13"/>
                <w:color w:val="auto"/>
              </w:rPr>
            </w:pPr>
          </w:p>
        </w:tc>
      </w:tr>
    </w:tbl>
    <w:p>
      <w:pPr>
        <w:spacing w:after="0" w:line="98" w:lineRule="exact"/>
        <w:rPr>
          <w:sz w:val="20"/>
          <w:szCs w:val="20"/>
          <w:color w:val="auto"/>
        </w:rPr>
      </w:pPr>
    </w:p>
    <w:p>
      <w:pPr>
        <w:ind w:left="940" w:hanging="303"/>
        <w:spacing w:after="0"/>
        <w:tabs>
          <w:tab w:leader="none" w:pos="94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Marketing and promotion activities for PERSERIS were discontinued in 2024.</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Reconciliation of GAAP to non-GAAP financial information</w:t>
      </w:r>
    </w:p>
    <w:p>
      <w:pPr>
        <w:spacing w:after="0" w:line="171" w:lineRule="exact"/>
        <w:rPr>
          <w:sz w:val="20"/>
          <w:szCs w:val="20"/>
          <w:color w:val="auto"/>
        </w:rPr>
      </w:pPr>
    </w:p>
    <w:tbl>
      <w:tblPr>
        <w:tblLayout w:type="fixed"/>
        <w:tblInd w:w="1560" w:type="dxa"/>
        <w:tblCellMar>
          <w:top w:w="0" w:type="dxa"/>
          <w:left w:w="0" w:type="dxa"/>
          <w:bottom w:w="0" w:type="dxa"/>
          <w:right w:w="0" w:type="dxa"/>
        </w:tblCellMar>
      </w:tblPr>
      <w:tr>
        <w:trPr>
          <w:trHeight w:val="121"/>
        </w:trPr>
        <w:tc>
          <w:tcPr>
            <w:tcW w:w="4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6"/>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r>
      <w:tr>
        <w:trPr>
          <w:trHeight w:val="94"/>
        </w:trPr>
        <w:tc>
          <w:tcPr>
            <w:tcW w:w="41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20"/>
              <w:spacing w:after="0" w:line="94" w:lineRule="exact"/>
              <w:rPr>
                <w:sz w:val="20"/>
                <w:szCs w:val="20"/>
                <w:color w:val="auto"/>
              </w:rPr>
            </w:pPr>
            <w:r>
              <w:rPr>
                <w:rFonts w:ascii="Times New Roman" w:cs="Times New Roman" w:eastAsia="Times New Roman" w:hAnsi="Times New Roman"/>
                <w:sz w:val="10"/>
                <w:szCs w:val="10"/>
                <w:b w:val="1"/>
                <w:bCs w:val="1"/>
                <w:color w:val="auto"/>
              </w:rPr>
              <w:t>2026</w:t>
            </w:r>
          </w:p>
        </w:tc>
        <w:tc>
          <w:tcPr>
            <w:tcW w:w="20" w:type="dxa"/>
            <w:vAlign w:val="bottom"/>
            <w:tcBorders>
              <w:top w:val="single" w:sz="8" w:color="auto"/>
              <w:bottom w:val="single" w:sz="8" w:color="CCEEFF"/>
            </w:tcBorders>
          </w:tcPr>
          <w:p>
            <w:pPr>
              <w:spacing w:after="0"/>
              <w:rPr>
                <w:sz w:val="8"/>
                <w:szCs w:val="8"/>
                <w:color w:val="auto"/>
              </w:rPr>
            </w:pPr>
          </w:p>
        </w:tc>
        <w:tc>
          <w:tcPr>
            <w:tcW w:w="560" w:type="dxa"/>
            <w:vAlign w:val="bottom"/>
            <w:tcBorders>
              <w:top w:val="single" w:sz="8" w:color="auto"/>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9"/>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40" w:type="dxa"/>
            <w:vAlign w:val="bottom"/>
            <w:tcBorders>
              <w:bottom w:val="single" w:sz="8" w:color="CCEEFF"/>
            </w:tcBorders>
          </w:tcPr>
          <w:p>
            <w:pPr>
              <w:spacing w:after="0"/>
              <w:rPr>
                <w:sz w:val="8"/>
                <w:szCs w:val="8"/>
                <w:color w:val="auto"/>
              </w:rPr>
            </w:pPr>
          </w:p>
        </w:tc>
      </w:tr>
      <w:tr>
        <w:trPr>
          <w:trHeight w:val="141"/>
        </w:trPr>
        <w:tc>
          <w:tcPr>
            <w:tcW w:w="41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3"/>
                <w:szCs w:val="13"/>
                <w:b w:val="1"/>
                <w:bCs w:val="1"/>
                <w:color w:val="auto"/>
              </w:rPr>
              <w:t>GAAP operating expenses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139</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156</w:t>
            </w:r>
          </w:p>
        </w:tc>
        <w:tc>
          <w:tcPr>
            <w:tcW w:w="40" w:type="dxa"/>
            <w:vAlign w:val="bottom"/>
            <w:shd w:val="clear" w:color="auto" w:fill="CCEEFF"/>
          </w:tcPr>
          <w:p>
            <w:pPr>
              <w:spacing w:after="0"/>
              <w:rPr>
                <w:sz w:val="12"/>
                <w:szCs w:val="12"/>
                <w:color w:val="auto"/>
              </w:rPr>
            </w:pPr>
          </w:p>
        </w:tc>
      </w:tr>
      <w:tr>
        <w:trPr>
          <w:trHeight w:val="152"/>
        </w:trPr>
        <w:tc>
          <w:tcPr>
            <w:tcW w:w="41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Share-based compensation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w:t>
            </w:r>
          </w:p>
        </w:tc>
      </w:tr>
      <w:tr>
        <w:trPr>
          <w:trHeight w:val="152"/>
        </w:trPr>
        <w:tc>
          <w:tcPr>
            <w:tcW w:w="4100" w:type="dxa"/>
            <w:vAlign w:val="bottom"/>
            <w:shd w:val="clear" w:color="auto" w:fill="CCEEFF"/>
          </w:tcPr>
          <w:p>
            <w:pPr>
              <w:ind w:left="520"/>
              <w:spacing w:after="0" w:line="152" w:lineRule="exact"/>
              <w:rPr>
                <w:sz w:val="20"/>
                <w:szCs w:val="20"/>
                <w:color w:val="auto"/>
              </w:rPr>
            </w:pPr>
            <w:r>
              <w:rPr>
                <w:rFonts w:ascii="Times New Roman" w:cs="Times New Roman" w:eastAsia="Times New Roman" w:hAnsi="Times New Roman"/>
                <w:sz w:val="12"/>
                <w:szCs w:val="12"/>
                <w:color w:val="auto"/>
              </w:rPr>
              <w:t>Corporate initiative transition</w:t>
            </w:r>
            <w:r>
              <w:rPr>
                <w:rFonts w:ascii="Times New Roman" w:cs="Times New Roman" w:eastAsia="Times New Roman" w:hAnsi="Times New Roman"/>
                <w:sz w:val="17"/>
                <w:szCs w:val="17"/>
                <w:color w:val="auto"/>
                <w:vertAlign w:val="superscript"/>
              </w:rPr>
              <w:t>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41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Litigation settlement expense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4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Less: Adjustments in operating expenses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w:t>
            </w:r>
          </w:p>
        </w:tc>
      </w:tr>
      <w:tr>
        <w:trPr>
          <w:trHeight w:val="159"/>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Non-GAAP operating expenses</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116</w:t>
            </w:r>
          </w:p>
        </w:tc>
        <w:tc>
          <w:tcPr>
            <w:tcW w:w="2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147</w:t>
            </w:r>
          </w:p>
        </w:tc>
        <w:tc>
          <w:tcPr>
            <w:tcW w:w="40" w:type="dxa"/>
            <w:vAlign w:val="bottom"/>
          </w:tcPr>
          <w:p>
            <w:pPr>
              <w:spacing w:after="0"/>
              <w:rPr>
                <w:sz w:val="13"/>
                <w:szCs w:val="13"/>
                <w:color w:val="auto"/>
              </w:rPr>
            </w:pPr>
          </w:p>
        </w:tc>
      </w:tr>
    </w:tbl>
    <w:p>
      <w:pPr>
        <w:spacing w:after="0" w:line="113" w:lineRule="exact"/>
        <w:rPr>
          <w:sz w:val="20"/>
          <w:szCs w:val="20"/>
          <w:color w:val="auto"/>
        </w:rPr>
      </w:pPr>
    </w:p>
    <w:p>
      <w:pPr>
        <w:ind w:left="940" w:hanging="303"/>
        <w:spacing w:after="0"/>
        <w:tabs>
          <w:tab w:leader="none" w:pos="94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severance, consulting, impairment, and costs related to planned facility closures.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Non-GAAP diluted earnings per share</w:t>
      </w:r>
    </w:p>
    <w:p>
      <w:pPr>
        <w:spacing w:after="0" w:line="80" w:lineRule="exact"/>
        <w:rPr>
          <w:sz w:val="20"/>
          <w:szCs w:val="20"/>
          <w:color w:val="auto"/>
        </w:rPr>
      </w:pPr>
    </w:p>
    <w:p>
      <w:pPr>
        <w:ind w:left="640" w:right="799"/>
        <w:spacing w:after="0" w:line="251" w:lineRule="auto"/>
        <w:rPr>
          <w:sz w:val="20"/>
          <w:szCs w:val="20"/>
          <w:color w:val="auto"/>
        </w:rPr>
      </w:pPr>
      <w:r>
        <w:rPr>
          <w:rFonts w:ascii="Times New Roman" w:cs="Times New Roman" w:eastAsia="Times New Roman" w:hAnsi="Times New Roman"/>
          <w:sz w:val="13"/>
          <w:szCs w:val="13"/>
          <w:color w:val="auto"/>
        </w:rPr>
        <w:t>Management believes that non-GAAP diluted earnings per share, adjusted for the impact of non-recurring items and other adjustments after the appropriate tax amount, may provide meaningful information on underlying trends to shareholders in respect of earnings per ordinary share. Weighted average shares used in computing non-GAAP diluted earnings per share are included in the table above. A reconciliation of GAAP net income to non-GAAP net income is included below.</w:t>
      </w:r>
    </w:p>
    <w:p>
      <w:pPr>
        <w:spacing w:after="0" w:line="148"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6"/>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r>
      <w:tr>
        <w:trPr>
          <w:trHeight w:val="94"/>
        </w:trPr>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18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99"/>
              <w:spacing w:after="0" w:line="94" w:lineRule="exact"/>
              <w:rPr>
                <w:sz w:val="20"/>
                <w:szCs w:val="20"/>
                <w:color w:val="auto"/>
              </w:rPr>
            </w:pPr>
            <w:r>
              <w:rPr>
                <w:rFonts w:ascii="Times New Roman" w:cs="Times New Roman" w:eastAsia="Times New Roman" w:hAnsi="Times New Roman"/>
                <w:sz w:val="10"/>
                <w:szCs w:val="10"/>
                <w:b w:val="1"/>
                <w:bCs w:val="1"/>
                <w:color w:val="auto"/>
              </w:rPr>
              <w:t>2026</w:t>
            </w:r>
          </w:p>
        </w:tc>
        <w:tc>
          <w:tcPr>
            <w:tcW w:w="300" w:type="dxa"/>
            <w:vAlign w:val="bottom"/>
            <w:tcBorders>
              <w:top w:val="single" w:sz="8" w:color="auto"/>
              <w:bottom w:val="single" w:sz="8" w:color="CCEEFF"/>
            </w:tcBorders>
          </w:tcPr>
          <w:p>
            <w:pPr>
              <w:spacing w:after="0"/>
              <w:rPr>
                <w:sz w:val="8"/>
                <w:szCs w:val="8"/>
                <w:color w:val="auto"/>
              </w:rPr>
            </w:pPr>
          </w:p>
        </w:tc>
        <w:tc>
          <w:tcPr>
            <w:tcW w:w="240" w:type="dxa"/>
            <w:vAlign w:val="bottom"/>
            <w:tcBorders>
              <w:top w:val="single" w:sz="8" w:color="auto"/>
              <w:bottom w:val="single" w:sz="8" w:color="CCEEFF"/>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118"/>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40" w:type="dxa"/>
            <w:vAlign w:val="bottom"/>
            <w:tcBorders>
              <w:bottom w:val="single" w:sz="8" w:color="CCEEFF"/>
            </w:tcBorders>
          </w:tcPr>
          <w:p>
            <w:pPr>
              <w:spacing w:after="0"/>
              <w:rPr>
                <w:sz w:val="8"/>
                <w:szCs w:val="8"/>
                <w:color w:val="auto"/>
              </w:rPr>
            </w:pPr>
          </w:p>
        </w:tc>
      </w:tr>
      <w:tr>
        <w:trPr>
          <w:trHeight w:val="141"/>
        </w:trPr>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8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3"/>
                <w:szCs w:val="13"/>
                <w:b w:val="1"/>
                <w:bCs w:val="1"/>
                <w:color w:val="auto"/>
              </w:rPr>
              <w:t>GAAP 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89</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47</w:t>
            </w:r>
          </w:p>
        </w:tc>
        <w:tc>
          <w:tcPr>
            <w:tcW w:w="40" w:type="dxa"/>
            <w:vAlign w:val="bottom"/>
            <w:shd w:val="clear" w:color="auto" w:fill="CCEEFF"/>
          </w:tcPr>
          <w:p>
            <w:pPr>
              <w:spacing w:after="0"/>
              <w:rPr>
                <w:sz w:val="12"/>
                <w:szCs w:val="12"/>
                <w:color w:val="auto"/>
              </w:rPr>
            </w:pPr>
          </w:p>
        </w:tc>
      </w:tr>
      <w:tr>
        <w:trPr>
          <w:trHeight w:val="152"/>
        </w:trPr>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80" w:type="dxa"/>
            <w:vAlign w:val="bottom"/>
          </w:tcPr>
          <w:p>
            <w:pPr>
              <w:ind w:left="520"/>
              <w:spacing w:after="0" w:line="152" w:lineRule="exact"/>
              <w:rPr>
                <w:sz w:val="20"/>
                <w:szCs w:val="20"/>
                <w:color w:val="auto"/>
              </w:rPr>
            </w:pPr>
            <w:r>
              <w:rPr>
                <w:rFonts w:ascii="Times New Roman" w:cs="Times New Roman" w:eastAsia="Times New Roman" w:hAnsi="Times New Roman"/>
                <w:sz w:val="12"/>
                <w:szCs w:val="12"/>
                <w:color w:val="auto"/>
              </w:rPr>
              <w:t>Adjustments in cost of sales</w:t>
            </w:r>
            <w:r>
              <w:rPr>
                <w:rFonts w:ascii="Times New Roman" w:cs="Times New Roman" w:eastAsia="Times New Roman" w:hAnsi="Times New Roman"/>
                <w:sz w:val="17"/>
                <w:szCs w:val="17"/>
                <w:color w:val="auto"/>
                <w:vertAlign w:val="superscript"/>
              </w:rPr>
              <w:t>1</w:t>
            </w:r>
          </w:p>
        </w:tc>
        <w:tc>
          <w:tcPr>
            <w:tcW w:w="100" w:type="dxa"/>
            <w:vAlign w:val="bottom"/>
          </w:tcPr>
          <w:p>
            <w:pPr>
              <w:spacing w:after="0"/>
              <w:rPr>
                <w:sz w:val="13"/>
                <w:szCs w:val="13"/>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Adjustments in operating expenses</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w:t>
            </w:r>
          </w:p>
        </w:tc>
      </w:tr>
      <w:tr>
        <w:trPr>
          <w:trHeight w:val="152"/>
        </w:trPr>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Adjustments in tax expenses</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— </w:t>
            </w:r>
          </w:p>
        </w:tc>
      </w:tr>
      <w:tr>
        <w:trPr>
          <w:trHeight w:val="151"/>
        </w:trPr>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Non-GAAP net income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123</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56</w:t>
            </w:r>
          </w:p>
        </w:tc>
        <w:tc>
          <w:tcPr>
            <w:tcW w:w="40" w:type="dxa"/>
            <w:vAlign w:val="bottom"/>
          </w:tcPr>
          <w:p>
            <w:pPr>
              <w:spacing w:after="0"/>
              <w:rPr>
                <w:sz w:val="13"/>
                <w:szCs w:val="13"/>
                <w:color w:val="auto"/>
              </w:rPr>
            </w:pPr>
          </w:p>
        </w:tc>
      </w:tr>
      <w:tr>
        <w:trPr>
          <w:trHeight w:val="152"/>
        </w:trPr>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Shares used in computing diluted non-GAAP earnings per share</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129</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125</w:t>
            </w:r>
          </w:p>
        </w:tc>
      </w:tr>
      <w:tr>
        <w:trPr>
          <w:trHeight w:val="159"/>
        </w:trPr>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Non-GAAP diluted earnings per share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0.96</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0.45</w:t>
            </w:r>
          </w:p>
        </w:tc>
        <w:tc>
          <w:tcPr>
            <w:tcW w:w="40" w:type="dxa"/>
            <w:vAlign w:val="bottom"/>
          </w:tcPr>
          <w:p>
            <w:pPr>
              <w:spacing w:after="0"/>
              <w:rPr>
                <w:sz w:val="13"/>
                <w:szCs w:val="13"/>
                <w:color w:val="auto"/>
              </w:rPr>
            </w:pPr>
          </w:p>
        </w:tc>
      </w:tr>
      <w:tr>
        <w:trPr>
          <w:trHeight w:val="332"/>
        </w:trPr>
        <w:tc>
          <w:tcPr>
            <w:tcW w:w="180" w:type="dxa"/>
            <w:vAlign w:val="bottom"/>
          </w:tcPr>
          <w:p>
            <w:pPr>
              <w:jc w:val="right"/>
              <w:ind w:right="116"/>
              <w:spacing w:after="0"/>
              <w:rPr>
                <w:sz w:val="20"/>
                <w:szCs w:val="20"/>
                <w:color w:val="auto"/>
              </w:rPr>
            </w:pPr>
            <w:r>
              <w:rPr>
                <w:rFonts w:ascii="Times New Roman" w:cs="Times New Roman" w:eastAsia="Times New Roman" w:hAnsi="Times New Roman"/>
                <w:sz w:val="5"/>
                <w:szCs w:val="5"/>
                <w:color w:val="auto"/>
                <w:w w:val="78"/>
              </w:rPr>
              <w:t>1</w:t>
            </w:r>
          </w:p>
        </w:tc>
        <w:tc>
          <w:tcPr>
            <w:tcW w:w="4920" w:type="dxa"/>
            <w:vAlign w:val="bottom"/>
            <w:gridSpan w:val="2"/>
          </w:tcPr>
          <w:p>
            <w:pPr>
              <w:jc w:val="right"/>
              <w:ind w:right="2237"/>
              <w:spacing w:after="0"/>
              <w:rPr>
                <w:sz w:val="20"/>
                <w:szCs w:val="20"/>
                <w:color w:val="auto"/>
              </w:rPr>
            </w:pPr>
            <w:r>
              <w:rPr>
                <w:rFonts w:ascii="Times New Roman" w:cs="Times New Roman" w:eastAsia="Times New Roman" w:hAnsi="Times New Roman"/>
                <w:sz w:val="13"/>
                <w:szCs w:val="13"/>
                <w:color w:val="auto"/>
              </w:rPr>
              <w:t>Includes manufacturing transition and other costs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6"/>
        </w:trPr>
        <w:tc>
          <w:tcPr>
            <w:tcW w:w="180" w:type="dxa"/>
            <w:vAlign w:val="bottom"/>
          </w:tcPr>
          <w:p>
            <w:pPr>
              <w:spacing w:after="0"/>
              <w:rPr>
                <w:sz w:val="22"/>
                <w:szCs w:val="22"/>
                <w:color w:val="auto"/>
              </w:rPr>
            </w:pPr>
          </w:p>
        </w:tc>
        <w:tc>
          <w:tcPr>
            <w:tcW w:w="4920" w:type="dxa"/>
            <w:vAlign w:val="bottom"/>
            <w:gridSpan w:val="2"/>
          </w:tcPr>
          <w:p>
            <w:pPr>
              <w:jc w:val="right"/>
              <w:ind w:right="1137"/>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ectPr>
          <w:pgSz w:w="11900" w:h="16838" w:orient="portrait"/>
          <w:cols w:equalWidth="0" w:num="1">
            <w:col w:w="9019"/>
          </w:cols>
          <w:pgMar w:left="1440" w:top="229"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Indivior Pharmaceuticals, Inc.</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(Amounts in millions, except per share data and percentages)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Adjusted EBITDA</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Adjusted EBITDA is a non-GAAP financial measure that represents GAAP net income adjusted to exclude interest expense, interest income, income tax expense or benefit, depreciation and amortization, as well as stock-based compensation and other adjustments reflecting changes in our business that do not represent ongoing operations. Adjusted EBITDA, as used by us, may be calculated differently from, and therefore may not be comparable to, similarly titled measures used by other companies.</w:t>
      </w:r>
    </w:p>
    <w:p>
      <w:pPr>
        <w:spacing w:after="0" w:line="148" w:lineRule="exact"/>
        <w:rPr>
          <w:sz w:val="20"/>
          <w:szCs w:val="20"/>
          <w:color w:val="auto"/>
        </w:rPr>
      </w:pPr>
    </w:p>
    <w:tbl>
      <w:tblPr>
        <w:tblLayout w:type="fixed"/>
        <w:tblInd w:w="1560" w:type="dxa"/>
        <w:tblCellMar>
          <w:top w:w="0" w:type="dxa"/>
          <w:left w:w="0" w:type="dxa"/>
          <w:bottom w:w="0" w:type="dxa"/>
          <w:right w:w="0" w:type="dxa"/>
        </w:tblCellMar>
      </w:tblPr>
      <w:tr>
        <w:trPr>
          <w:trHeight w:val="121"/>
        </w:trPr>
        <w:tc>
          <w:tcPr>
            <w:tcW w:w="24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6"/>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r>
      <w:tr>
        <w:trPr>
          <w:trHeight w:val="94"/>
        </w:trPr>
        <w:tc>
          <w:tcPr>
            <w:tcW w:w="2480" w:type="dxa"/>
            <w:vAlign w:val="bottom"/>
            <w:tcBorders>
              <w:bottom w:val="single" w:sz="8" w:color="CCEEFF"/>
            </w:tcBorders>
          </w:tcPr>
          <w:p>
            <w:pPr>
              <w:spacing w:after="0"/>
              <w:rPr>
                <w:sz w:val="8"/>
                <w:szCs w:val="8"/>
                <w:color w:val="auto"/>
              </w:rPr>
            </w:pPr>
          </w:p>
        </w:tc>
        <w:tc>
          <w:tcPr>
            <w:tcW w:w="164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99"/>
              <w:spacing w:after="0" w:line="94" w:lineRule="exact"/>
              <w:rPr>
                <w:sz w:val="20"/>
                <w:szCs w:val="20"/>
                <w:color w:val="auto"/>
              </w:rPr>
            </w:pPr>
            <w:r>
              <w:rPr>
                <w:rFonts w:ascii="Times New Roman" w:cs="Times New Roman" w:eastAsia="Times New Roman" w:hAnsi="Times New Roman"/>
                <w:sz w:val="10"/>
                <w:szCs w:val="10"/>
                <w:b w:val="1"/>
                <w:bCs w:val="1"/>
                <w:color w:val="auto"/>
              </w:rPr>
              <w:t>2026</w:t>
            </w:r>
          </w:p>
        </w:tc>
        <w:tc>
          <w:tcPr>
            <w:tcW w:w="320" w:type="dxa"/>
            <w:vAlign w:val="bottom"/>
            <w:tcBorders>
              <w:top w:val="single" w:sz="8" w:color="auto"/>
              <w:bottom w:val="single" w:sz="8" w:color="CCEEFF"/>
            </w:tcBorders>
          </w:tcPr>
          <w:p>
            <w:pPr>
              <w:spacing w:after="0"/>
              <w:rPr>
                <w:sz w:val="8"/>
                <w:szCs w:val="8"/>
                <w:color w:val="auto"/>
              </w:rPr>
            </w:pPr>
          </w:p>
        </w:tc>
        <w:tc>
          <w:tcPr>
            <w:tcW w:w="280" w:type="dxa"/>
            <w:vAlign w:val="bottom"/>
            <w:tcBorders>
              <w:top w:val="single" w:sz="8" w:color="auto"/>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118"/>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8"/>
                <w:szCs w:val="8"/>
                <w:color w:val="auto"/>
              </w:rPr>
            </w:pPr>
          </w:p>
        </w:tc>
      </w:tr>
      <w:tr>
        <w:trPr>
          <w:trHeight w:val="141"/>
        </w:trPr>
        <w:tc>
          <w:tcPr>
            <w:tcW w:w="24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89</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47</w:t>
            </w:r>
          </w:p>
        </w:tc>
        <w:tc>
          <w:tcPr>
            <w:tcW w:w="80" w:type="dxa"/>
            <w:vAlign w:val="bottom"/>
            <w:shd w:val="clear" w:color="auto" w:fill="CCEEFF"/>
          </w:tcPr>
          <w:p>
            <w:pPr>
              <w:spacing w:after="0"/>
              <w:rPr>
                <w:sz w:val="12"/>
                <w:szCs w:val="12"/>
                <w:color w:val="auto"/>
              </w:rPr>
            </w:pPr>
          </w:p>
        </w:tc>
      </w:tr>
      <w:tr>
        <w:trPr>
          <w:trHeight w:val="152"/>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 (income)</w:t>
            </w: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w:t>
            </w:r>
          </w:p>
        </w:tc>
      </w:tr>
      <w:tr>
        <w:trPr>
          <w:trHeight w:val="152"/>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 expense</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7</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w:t>
            </w:r>
          </w:p>
        </w:tc>
      </w:tr>
      <w:tr>
        <w:trPr>
          <w:trHeight w:val="152"/>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 expense</w:t>
            </w: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w:t>
            </w:r>
          </w:p>
        </w:tc>
      </w:tr>
      <w:tr>
        <w:trPr>
          <w:trHeight w:val="152"/>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w:t>
            </w:r>
          </w:p>
        </w:tc>
      </w:tr>
      <w:tr>
        <w:trPr>
          <w:trHeight w:val="152"/>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Corporate initiative transition</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Manufacturing transition</w:t>
            </w: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Litigation settlement expense</w:t>
            </w: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2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164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78</w:t>
            </w:r>
          </w:p>
        </w:tc>
      </w:tr>
      <w:tr>
        <w:trPr>
          <w:trHeight w:val="265"/>
        </w:trPr>
        <w:tc>
          <w:tcPr>
            <w:tcW w:w="2480" w:type="dxa"/>
            <w:vAlign w:val="bottom"/>
          </w:tcPr>
          <w:p>
            <w:pPr>
              <w:spacing w:after="0"/>
              <w:rPr>
                <w:sz w:val="23"/>
                <w:szCs w:val="23"/>
                <w:color w:val="auto"/>
              </w:rPr>
            </w:pPr>
          </w:p>
        </w:tc>
        <w:tc>
          <w:tcPr>
            <w:tcW w:w="1640" w:type="dxa"/>
            <w:vAlign w:val="bottom"/>
          </w:tcPr>
          <w:p>
            <w:pPr>
              <w:jc w:val="right"/>
              <w:ind w:right="1077"/>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r>
    </w:tbl>
    <w:p>
      <w:pPr>
        <w:sectPr>
          <w:pgSz w:w="11900" w:h="16838" w:orient="portrait"/>
          <w:cols w:equalWidth="0" w:num="1">
            <w:col w:w="9019"/>
          </w:cols>
          <w:pgMar w:left="1440" w:top="229" w:right="1440" w:bottom="1440"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lvl w:ilvl="5">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2026-04-30T06:05:45Z</dcterms:created>
  <dcterms:modified xsi:type="dcterms:W3CDTF">2026-04-30T06:05:45Z</dcterms:modified>
</cp:coreProperties>
</file>