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89399.xml.htm"/>
      <w:bookmarkStart w:id="1" w:name="kswkform4_17787893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NINIVAGGI DANIEL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10710 MIDLOTHIAN TURNPIKE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CHESTERFIELD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Indivior Pharmaceuticals, Inc.</w:t>
              </w:r>
            </w:hyperlink>
            <w:r>
              <w:rPr/>
              <w:t xml:space="preserve"> [ </w:t>
            </w:r>
            <w:r>
              <w:rPr>
                <w:rFonts w:ascii="Times;serif" w:hAnsi="Times;serif"/>
                <w:color w:val="0000FF"/>
                <w:sz w:val="24"/>
                <w:shd w:fill="FFFFFF" w:val="clear"/>
              </w:rPr>
              <w:t>INDV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6,518</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27,163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Stock Units (RSUs). Each RSU represents a contingent right to receive one share of the Issuer's common stock. The RSUs vest on the day immediately preceding the date of the annual meeting of the Issuer's stockholders following the date of grant, subject to the Reporting Person's continued service to the Issuer on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/s/Alice Givens,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7599" TargetMode="External"/><Relationship Id="rId5" Type="http://schemas.openxmlformats.org/officeDocument/2006/relationships/hyperlink" Target="http://www.sec.gov/cgi-bin/browse-edgar?action=getcompany&amp;CIK=0001625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3374</Characters>
  <CharactersWithSpaces>3936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